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721E6E" w:rsidRPr="00B62597" w:rsidP="00721E6E">
      <w:pPr>
        <w:pStyle w:val="MeetingDetails"/>
      </w:pPr>
      <w:r>
        <w:t>Transmission Expansion Advisory Committee</w:t>
      </w:r>
    </w:p>
    <w:p w:rsidR="00721E6E" w:rsidRPr="00B62597" w:rsidP="00721E6E">
      <w:pPr>
        <w:pStyle w:val="MeetingDetails"/>
      </w:pPr>
      <w:r>
        <w:t>WebEx</w:t>
      </w:r>
      <w:r w:rsidR="007760B7">
        <w:t>/Conference &amp; Training Center</w:t>
      </w:r>
    </w:p>
    <w:p w:rsidR="00BC526C" w:rsidRPr="00BC526C" w:rsidP="00BC526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February 06</w:t>
      </w:r>
      <w:r w:rsidRPr="00BC526C">
        <w:rPr>
          <w:rFonts w:ascii="Arial Narrow" w:hAnsi="Arial Narrow"/>
          <w:b/>
        </w:rPr>
        <w:t>, 2024</w:t>
      </w:r>
    </w:p>
    <w:p w:rsidR="00B62597" w:rsidRPr="00BC526C" w:rsidP="00BC526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12:30 p</w:t>
      </w:r>
      <w:bookmarkStart w:id="0" w:name="_GoBack"/>
      <w:bookmarkEnd w:id="0"/>
      <w:r w:rsidRPr="00BC526C" w:rsidR="00BC526C">
        <w:rPr>
          <w:rFonts w:ascii="Arial Narrow" w:hAnsi="Arial Narrow"/>
          <w:b/>
        </w:rPr>
        <w:t>.m. – 3:00 p.m. EPT</w:t>
      </w:r>
    </w:p>
    <w:p w:rsidR="00B62597" w:rsidRPr="00B62597" w:rsidP="00B7790E">
      <w:pPr>
        <w:pStyle w:val="PrimaryHeading"/>
        <w:spacing w:line="240" w:lineRule="auto"/>
        <w:rPr>
          <w:caps/>
        </w:rPr>
      </w:pPr>
      <w:bookmarkStart w:id="1" w:name="OLE_LINK5"/>
      <w:bookmarkStart w:id="2" w:name="OLE_LINK3"/>
      <w:r w:rsidRPr="00527104">
        <w:t>Adm</w:t>
      </w:r>
      <w:r w:rsidRPr="007C2954">
        <w:t>inistrati</w:t>
      </w:r>
      <w:r w:rsidRPr="00527104">
        <w:t>on (</w:t>
      </w:r>
      <w:r w:rsidR="007760B7">
        <w:t>1</w:t>
      </w:r>
      <w:r w:rsidR="00EC31FC">
        <w:t>2</w:t>
      </w:r>
      <w:r w:rsidR="000A1D69">
        <w:t>:3</w:t>
      </w:r>
      <w:r w:rsidR="00A723BD">
        <w:t>0</w:t>
      </w:r>
      <w:r w:rsidRPr="00527104">
        <w:t>-</w:t>
      </w:r>
      <w:r w:rsidR="006F3DB6">
        <w:t>1</w:t>
      </w:r>
      <w:r w:rsidR="00EC31FC">
        <w:t>2</w:t>
      </w:r>
      <w:r w:rsidR="000A1D69">
        <w:t>:3</w:t>
      </w:r>
      <w:r w:rsidR="00A723BD">
        <w:t>5</w:t>
      </w:r>
      <w:r w:rsidRPr="00527104">
        <w:t>)</w:t>
      </w:r>
    </w:p>
    <w:bookmarkEnd w:id="1"/>
    <w:bookmarkEnd w:id="2"/>
    <w:p w:rsidR="00E2594B" w:rsidRPr="006F3DB6" w:rsidP="006F3DB6">
      <w:pPr>
        <w:pStyle w:val="SecondaryHeading-Numbered"/>
        <w:spacing w:after="120"/>
        <w:rPr>
          <w:b w:val="0"/>
        </w:rPr>
      </w:pPr>
      <w:r w:rsidRPr="00732AA7">
        <w:rPr>
          <w:b w:val="0"/>
        </w:rPr>
        <w:t>Welcome, announcements and review of the Anti-trust, Code of Conduct, and Med</w:t>
      </w:r>
      <w:r>
        <w:rPr>
          <w:b w:val="0"/>
        </w:rPr>
        <w:t xml:space="preserve">ia Participation Guidelines. </w:t>
      </w:r>
      <w:r w:rsidRPr="00B75B2A">
        <w:rPr>
          <w:b w:val="0"/>
        </w:rPr>
        <w:t>Review Transmission Expa</w:t>
      </w:r>
      <w:r>
        <w:rPr>
          <w:b w:val="0"/>
        </w:rPr>
        <w:t xml:space="preserve">nsion Advisory Committee </w:t>
      </w:r>
      <w:r w:rsidRPr="00B75B2A">
        <w:rPr>
          <w:b w:val="0"/>
        </w:rPr>
        <w:t>Agenda for this meeting</w:t>
      </w:r>
      <w:r>
        <w:rPr>
          <w:b w:val="0"/>
        </w:rPr>
        <w:t>.</w:t>
      </w:r>
    </w:p>
    <w:p w:rsidR="001D3B68" w:rsidRPr="00DB29E9" w:rsidP="00B7790E">
      <w:pPr>
        <w:pStyle w:val="PrimaryHeading"/>
        <w:spacing w:line="240" w:lineRule="auto"/>
      </w:pPr>
      <w:r>
        <w:t>RTEP Updates</w:t>
      </w:r>
      <w:r>
        <w:t xml:space="preserve"> (</w:t>
      </w:r>
      <w:r>
        <w:t>1</w:t>
      </w:r>
      <w:r w:rsidR="00EC31FC">
        <w:t>2</w:t>
      </w:r>
      <w:r w:rsidR="000A1D69">
        <w:t>:3</w:t>
      </w:r>
      <w:r w:rsidR="00A723BD">
        <w:t>5</w:t>
      </w:r>
      <w:r w:rsidR="00E000B4">
        <w:t>-</w:t>
      </w:r>
      <w:r w:rsidR="00EC31FC">
        <w:t>3</w:t>
      </w:r>
      <w:r>
        <w:t>:00)</w:t>
      </w:r>
    </w:p>
    <w:p w:rsidR="00BC526C" w:rsidRPr="00B47C80" w:rsidP="00BC526C">
      <w:pPr>
        <w:pStyle w:val="ListSubhead1"/>
        <w:numPr>
          <w:ilvl w:val="0"/>
          <w:numId w:val="14"/>
        </w:numPr>
        <w:spacing w:after="120"/>
        <w:rPr>
          <w:b w:val="0"/>
        </w:rPr>
      </w:pPr>
      <w:r>
        <w:t>Interregional Planning Update</w:t>
      </w:r>
    </w:p>
    <w:p w:rsidR="00BC526C" w:rsidP="00BC526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Jeffrey Goldberg, PJM, provided an update on Interregional Planning.</w:t>
      </w:r>
    </w:p>
    <w:p w:rsidR="00BC526C" w:rsidRPr="00B47C80" w:rsidP="00BC526C">
      <w:pPr>
        <w:pStyle w:val="ListSubhead1"/>
        <w:numPr>
          <w:ilvl w:val="0"/>
          <w:numId w:val="14"/>
        </w:numPr>
        <w:spacing w:after="120"/>
        <w:rPr>
          <w:b w:val="0"/>
        </w:rPr>
      </w:pPr>
      <w:r>
        <w:t>Generation Deactivation Notification Update</w:t>
      </w:r>
    </w:p>
    <w:p w:rsidR="00BC526C" w:rsidP="00BC526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 xml:space="preserve">Perry NG, PJM provided an update on </w:t>
      </w:r>
      <w:r w:rsidRPr="00BD40D5">
        <w:rPr>
          <w:b w:val="0"/>
        </w:rPr>
        <w:t>Generation Deactivation</w:t>
      </w:r>
      <w:r>
        <w:rPr>
          <w:b w:val="0"/>
        </w:rPr>
        <w:t>.</w:t>
      </w:r>
    </w:p>
    <w:p w:rsidR="00BC526C" w:rsidRPr="00B47C80" w:rsidP="00BC526C">
      <w:pPr>
        <w:pStyle w:val="ListSubhead1"/>
        <w:numPr>
          <w:ilvl w:val="0"/>
          <w:numId w:val="14"/>
        </w:numPr>
        <w:spacing w:after="120"/>
        <w:rPr>
          <w:b w:val="0"/>
        </w:rPr>
      </w:pPr>
      <w:r>
        <w:t>Market Efficiency Update</w:t>
      </w:r>
    </w:p>
    <w:p w:rsidR="00BC526C" w:rsidP="00BC526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Nicolae Dumitriu, PJM provided an update on Market Efficiency.</w:t>
      </w:r>
    </w:p>
    <w:p w:rsidR="00BC526C" w:rsidRPr="00B47C80" w:rsidP="00BC526C">
      <w:pPr>
        <w:pStyle w:val="ListSubhead1"/>
        <w:numPr>
          <w:ilvl w:val="0"/>
          <w:numId w:val="14"/>
        </w:numPr>
        <w:spacing w:after="120"/>
        <w:rPr>
          <w:b w:val="0"/>
        </w:rPr>
      </w:pPr>
      <w:r>
        <w:t>NJ OSW Update</w:t>
      </w:r>
    </w:p>
    <w:p w:rsidR="00BC526C" w:rsidP="00BC526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 w:rsidRPr="00EC31FC">
        <w:rPr>
          <w:b w:val="0"/>
        </w:rPr>
        <w:t>Susan McGill, PJM, will provide an updat</w:t>
      </w:r>
      <w:r>
        <w:rPr>
          <w:b w:val="0"/>
        </w:rPr>
        <w:t xml:space="preserve">e on New Jersey </w:t>
      </w:r>
      <w:r>
        <w:rPr>
          <w:b w:val="0"/>
        </w:rPr>
        <w:t>Off</w:t>
      </w:r>
      <w:r>
        <w:rPr>
          <w:b w:val="0"/>
        </w:rPr>
        <w:t xml:space="preserve"> Shore Wind.</w:t>
      </w:r>
    </w:p>
    <w:p w:rsidR="00EC31FC" w:rsidRPr="00B7790E" w:rsidP="00EC31FC">
      <w:pPr>
        <w:pStyle w:val="SecondaryHeading-Numbered"/>
        <w:spacing w:after="120"/>
        <w:rPr>
          <w:b w:val="0"/>
        </w:rPr>
      </w:pPr>
      <w:r>
        <w:t>ComEd Supplemental Projects</w:t>
      </w:r>
    </w:p>
    <w:p w:rsidR="00EC31FC" w:rsidP="00EC31F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Exelon Planning provided an update on supplemental projects.</w:t>
      </w:r>
    </w:p>
    <w:p w:rsidR="00EC31FC" w:rsidRPr="00B7790E" w:rsidP="00EC31FC">
      <w:pPr>
        <w:pStyle w:val="SecondaryHeading-Numbered"/>
        <w:spacing w:after="120"/>
        <w:rPr>
          <w:b w:val="0"/>
        </w:rPr>
      </w:pPr>
      <w:r>
        <w:t>PECO Supplemental Projects</w:t>
      </w:r>
    </w:p>
    <w:p w:rsidR="00EC31FC" w:rsidP="00EC31F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Exelon Planning provided an update on supplemental projects</w:t>
      </w:r>
    </w:p>
    <w:p w:rsidR="00EC31FC" w:rsidRPr="00B7790E" w:rsidP="00EC31FC">
      <w:pPr>
        <w:pStyle w:val="SecondaryHeading-Numbered"/>
        <w:spacing w:after="120"/>
        <w:rPr>
          <w:b w:val="0"/>
        </w:rPr>
      </w:pPr>
      <w:r>
        <w:t>PSEG</w:t>
      </w:r>
      <w:r>
        <w:t xml:space="preserve"> Supplemental Projects</w:t>
      </w:r>
    </w:p>
    <w:p w:rsidR="00EC31FC" w:rsidP="00EC31F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PSEG</w:t>
      </w:r>
      <w:r>
        <w:rPr>
          <w:b w:val="0"/>
        </w:rPr>
        <w:t xml:space="preserve"> Planning provided an update on supplemental projects</w:t>
      </w:r>
    </w:p>
    <w:p w:rsidR="00EC31FC" w:rsidRPr="00B7790E" w:rsidP="00EC31FC">
      <w:pPr>
        <w:pStyle w:val="SecondaryHeading-Numbered"/>
        <w:spacing w:after="120"/>
        <w:rPr>
          <w:b w:val="0"/>
        </w:rPr>
      </w:pPr>
      <w:r>
        <w:t>Dominion Supplemental Projects</w:t>
      </w:r>
    </w:p>
    <w:p w:rsidR="00EC31FC" w:rsidP="00EC31F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Dominion Planning provided an update on supplemental projects</w:t>
      </w:r>
    </w:p>
    <w:p w:rsidR="00EC31FC" w:rsidRPr="00B7790E" w:rsidP="00EC31FC">
      <w:pPr>
        <w:pStyle w:val="SecondaryHeading-Numbered"/>
        <w:spacing w:after="120"/>
        <w:rPr>
          <w:b w:val="0"/>
        </w:rPr>
      </w:pPr>
      <w:r>
        <w:t xml:space="preserve">PPL </w:t>
      </w:r>
      <w:r>
        <w:t>Supplemental Projects</w:t>
      </w:r>
    </w:p>
    <w:p w:rsidR="00EC31FC" w:rsidP="00EC31F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 xml:space="preserve">PPL </w:t>
      </w:r>
      <w:r>
        <w:rPr>
          <w:b w:val="0"/>
        </w:rPr>
        <w:t>Planning provided an update on supplemental projects</w:t>
      </w:r>
    </w:p>
    <w:p w:rsidR="00EC31FC" w:rsidRPr="00B7790E" w:rsidP="00EC31FC">
      <w:pPr>
        <w:pStyle w:val="SecondaryHeading-Numbered"/>
        <w:spacing w:after="120"/>
        <w:rPr>
          <w:b w:val="0"/>
        </w:rPr>
      </w:pPr>
      <w:r>
        <w:t>JCPL Supplemental Projects</w:t>
      </w:r>
    </w:p>
    <w:p w:rsidR="00EC31FC" w:rsidP="00EC31F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FirstEnergy Planning provided an update on supplemental projects.</w:t>
      </w:r>
    </w:p>
    <w:p w:rsidR="00BC526C" w:rsidRPr="00B7790E" w:rsidP="00BC526C">
      <w:pPr>
        <w:pStyle w:val="SecondaryHeading-Numbered"/>
        <w:spacing w:after="120"/>
        <w:rPr>
          <w:b w:val="0"/>
        </w:rPr>
      </w:pPr>
      <w:r>
        <w:t>Penelec</w:t>
      </w:r>
      <w:r>
        <w:t xml:space="preserve"> Supplemental Projects</w:t>
      </w:r>
    </w:p>
    <w:p w:rsidR="00BC526C" w:rsidP="00EC31F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FirstEnergy</w:t>
      </w:r>
      <w:r>
        <w:rPr>
          <w:b w:val="0"/>
        </w:rPr>
        <w:t xml:space="preserve"> Planning provided an update on supplemental projects.</w:t>
      </w:r>
    </w:p>
    <w:p w:rsidR="00BC526C" w:rsidRPr="00B7790E" w:rsidP="00BC526C">
      <w:pPr>
        <w:pStyle w:val="SecondaryHeading-Numbered"/>
        <w:spacing w:after="120"/>
        <w:rPr>
          <w:b w:val="0"/>
        </w:rPr>
      </w:pPr>
      <w:r>
        <w:t>APS Supplemental Projects</w:t>
      </w:r>
    </w:p>
    <w:p w:rsidR="00BC526C" w:rsidP="00BC526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FirstEnergy Planning provided an update on supplemental projects</w:t>
      </w:r>
    </w:p>
    <w:p w:rsidR="00BC526C" w:rsidRPr="00B7790E" w:rsidP="00BC526C">
      <w:pPr>
        <w:pStyle w:val="SecondaryHeading-Numbered"/>
        <w:spacing w:after="120"/>
        <w:rPr>
          <w:b w:val="0"/>
        </w:rPr>
      </w:pPr>
      <w:r>
        <w:t xml:space="preserve">Reliability Analysis Update </w:t>
      </w:r>
    </w:p>
    <w:p w:rsidR="00BC526C" w:rsidP="00BC526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Sami</w:t>
      </w:r>
      <w:r w:rsidRPr="006127DF">
        <w:rPr>
          <w:b w:val="0"/>
        </w:rPr>
        <w:t xml:space="preserve"> </w:t>
      </w:r>
      <w:r>
        <w:rPr>
          <w:b w:val="0"/>
        </w:rPr>
        <w:t>Abdulsalam, PJM, provided an update on Reliability Analysis.</w:t>
      </w:r>
    </w:p>
    <w:p w:rsidR="00BC526C" w:rsidRPr="00B7790E" w:rsidP="00BC526C">
      <w:pPr>
        <w:pStyle w:val="SecondaryHeading-Numbered"/>
        <w:spacing w:after="120"/>
        <w:rPr>
          <w:b w:val="0"/>
        </w:rPr>
      </w:pPr>
      <w:r>
        <w:t xml:space="preserve">2024 RTEP Assumptions </w:t>
      </w:r>
      <w:r w:rsidR="00EC31FC">
        <w:t>Update</w:t>
      </w:r>
    </w:p>
    <w:p w:rsidR="00BC526C" w:rsidP="00BC526C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PJM Transmissions Planning provided an update on the 2024 RTEP Assumptions.</w:t>
      </w:r>
    </w:p>
    <w:p w:rsidR="001D3B68" w:rsidP="00B7790E">
      <w:pPr>
        <w:pStyle w:val="PrimaryHeading"/>
        <w:spacing w:line="240" w:lineRule="auto"/>
      </w:pPr>
      <w:r>
        <w:t>Informational Posting</w:t>
      </w:r>
    </w:p>
    <w:p w:rsidR="006A4871" w:rsidP="006A4871">
      <w:pPr>
        <w:pStyle w:val="ListSubhead1"/>
        <w:numPr>
          <w:ilvl w:val="0"/>
          <w:numId w:val="17"/>
        </w:numPr>
        <w:spacing w:after="120"/>
      </w:pPr>
      <w:r>
        <w:t>Informational Only – M-3 Process Needs Status</w:t>
      </w:r>
    </w:p>
    <w:p w:rsidR="006A4871" w:rsidRPr="00D55ABA" w:rsidP="006A4871">
      <w:pPr>
        <w:pStyle w:val="ListSubhead1"/>
        <w:numPr>
          <w:ilvl w:val="0"/>
          <w:numId w:val="0"/>
        </w:numPr>
        <w:spacing w:after="120"/>
        <w:ind w:left="360"/>
      </w:pPr>
      <w:r w:rsidRPr="00D55ABA">
        <w:rPr>
          <w:b w:val="0"/>
        </w:rPr>
        <w:t xml:space="preserve">This spreadsheet allows stakeholders to track process defined in Open Access Transmission Tariff, Attachment M-3 and leading to the development of the supplemental projects.   </w:t>
      </w:r>
    </w:p>
    <w:p w:rsidR="006A4871" w:rsidP="006A4871">
      <w:pPr>
        <w:pStyle w:val="ListSubhead1"/>
        <w:widowControl w:val="0"/>
        <w:numPr>
          <w:ilvl w:val="0"/>
          <w:numId w:val="13"/>
        </w:numPr>
        <w:spacing w:after="120"/>
      </w:pPr>
      <w:r>
        <w:t>Informational Only – Aggregate Maps for Supplemental Projects</w:t>
      </w:r>
    </w:p>
    <w:p w:rsidR="006A4871" w:rsidP="006A4871">
      <w:pPr>
        <w:pStyle w:val="ListSubhead1"/>
        <w:widowControl w:val="0"/>
        <w:numPr>
          <w:ilvl w:val="0"/>
          <w:numId w:val="0"/>
        </w:numPr>
        <w:spacing w:after="120"/>
        <w:ind w:left="720" w:hanging="360"/>
        <w:rPr>
          <w:b w:val="0"/>
        </w:rPr>
      </w:pPr>
      <w:r>
        <w:rPr>
          <w:b w:val="0"/>
        </w:rPr>
        <w:t xml:space="preserve">Aggregate geographic representation of supplemental projects not previously included in Local Plan. </w:t>
      </w:r>
    </w:p>
    <w:p w:rsidR="006A4871" w:rsidP="006A4871">
      <w:pPr>
        <w:pStyle w:val="ListSubhead1"/>
        <w:widowControl w:val="0"/>
        <w:numPr>
          <w:ilvl w:val="0"/>
          <w:numId w:val="13"/>
        </w:numPr>
        <w:spacing w:after="120"/>
      </w:pPr>
      <w:r>
        <w:t>Informational Only – Planning Community Open Questions</w:t>
      </w:r>
    </w:p>
    <w:p w:rsidR="000A5EAA" w:rsidRPr="00B9586A" w:rsidP="00B9586A">
      <w:pPr>
        <w:pStyle w:val="ListSubhead1"/>
        <w:widowControl w:val="0"/>
        <w:numPr>
          <w:ilvl w:val="0"/>
          <w:numId w:val="0"/>
        </w:numPr>
        <w:spacing w:after="120"/>
        <w:ind w:left="720" w:hanging="360"/>
        <w:rPr>
          <w:b w:val="0"/>
        </w:rPr>
      </w:pPr>
      <w:r>
        <w:rPr>
          <w:b w:val="0"/>
        </w:rPr>
        <w:t>Open questions regarding M-3 projects received through Planning Community.</w:t>
      </w:r>
    </w:p>
    <w:p w:rsidR="00EC31FC" w:rsidRPr="00B41C07" w:rsidP="00EC31FC">
      <w:pPr>
        <w:pStyle w:val="ListSubhead1"/>
        <w:widowControl w:val="0"/>
        <w:numPr>
          <w:ilvl w:val="0"/>
          <w:numId w:val="0"/>
        </w:numPr>
        <w:spacing w:after="120"/>
        <w:ind w:left="720" w:hanging="360"/>
        <w:rPr>
          <w:b w:val="0"/>
        </w:rPr>
      </w:pPr>
    </w:p>
    <w:tbl>
      <w:tblPr>
        <w:tblStyle w:val="GridTable3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"/>
        <w:gridCol w:w="983"/>
        <w:gridCol w:w="3756"/>
        <w:gridCol w:w="1816"/>
        <w:gridCol w:w="1529"/>
      </w:tblGrid>
      <w:tr w:rsidTr="009B21F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9"/>
        </w:trPr>
        <w:tc>
          <w:tcPr>
            <w:tcW w:w="5940" w:type="dxa"/>
            <w:gridSpan w:val="3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00B0F0" w:themeFill="accent3"/>
            <w:vAlign w:val="center"/>
          </w:tcPr>
          <w:p w:rsidR="00EC31FC" w:rsidRPr="003C3320" w:rsidP="009B21F3">
            <w:pPr>
              <w:pStyle w:val="PrimaryHeading"/>
              <w:keepNext w:val="0"/>
              <w:keepLines/>
              <w:spacing w:after="0"/>
              <w:jc w:val="left"/>
              <w:rPr>
                <w:b/>
                <w:i w:val="0"/>
              </w:rPr>
            </w:pPr>
            <w:r w:rsidRPr="00DF1112">
              <w:rPr>
                <w:b/>
                <w:i w:val="0"/>
                <w:iCs w:val="0"/>
              </w:rPr>
              <w:t>Future Meeting Dates and Materials</w:t>
            </w:r>
          </w:p>
        </w:tc>
        <w:tc>
          <w:tcPr>
            <w:tcW w:w="181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3366" w:themeFill="accent1"/>
            <w:vAlign w:val="center"/>
          </w:tcPr>
          <w:p w:rsidR="00EC31FC" w:rsidRPr="00DA23DE" w:rsidP="009B21F3">
            <w:pPr>
              <w:pStyle w:val="DisclaimerHeading"/>
              <w:keepLines/>
              <w:spacing w:before="40" w:after="40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DA23DE">
              <w:rPr>
                <w:b/>
                <w:color w:val="FFFFFF" w:themeColor="background1"/>
                <w:sz w:val="19"/>
                <w:szCs w:val="19"/>
              </w:rPr>
              <w:t>Materials Due</w:t>
            </w:r>
            <w:r>
              <w:rPr>
                <w:b/>
                <w:color w:val="FFFFFF" w:themeColor="background1"/>
                <w:sz w:val="19"/>
                <w:szCs w:val="19"/>
              </w:rPr>
              <w:br/>
            </w:r>
            <w:r w:rsidRPr="00DA23DE">
              <w:rPr>
                <w:b/>
                <w:color w:val="FFFFFF" w:themeColor="background1"/>
                <w:sz w:val="19"/>
                <w:szCs w:val="19"/>
              </w:rPr>
              <w:t xml:space="preserve"> to Secretary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4" w:space="0" w:color="auto"/>
            </w:tcBorders>
            <w:shd w:val="clear" w:color="auto" w:fill="013366" w:themeFill="accent1"/>
            <w:vAlign w:val="center"/>
          </w:tcPr>
          <w:p w:rsidR="00EC31FC" w:rsidRPr="00DA23DE" w:rsidP="009B21F3">
            <w:pPr>
              <w:pStyle w:val="DisclaimerHeading"/>
              <w:keepLines/>
              <w:spacing w:before="40" w:after="40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DA23DE">
              <w:rPr>
                <w:b/>
                <w:color w:val="FFFFFF" w:themeColor="background1"/>
                <w:sz w:val="19"/>
                <w:szCs w:val="19"/>
              </w:rPr>
              <w:t>Materials Published</w:t>
            </w:r>
          </w:p>
        </w:tc>
      </w:tr>
      <w:tr w:rsidTr="009B21F3">
        <w:tblPrEx>
          <w:tblW w:w="0" w:type="auto"/>
          <w:tblLook w:val="04A0"/>
        </w:tblPrEx>
        <w:trPr>
          <w:trHeight w:val="296"/>
        </w:trPr>
        <w:tc>
          <w:tcPr>
            <w:tcW w:w="1201" w:type="dxa"/>
            <w:vMerge w:val="restart"/>
            <w:tcBorders>
              <w:top w:val="single" w:sz="4" w:space="0" w:color="auto"/>
              <w:bottom w:val="single" w:sz="8" w:space="0" w:color="013366" w:themeColor="accent1"/>
              <w:right w:val="single" w:sz="6" w:space="0" w:color="FFFFFF" w:themeColor="background1"/>
            </w:tcBorders>
            <w:shd w:val="clear" w:color="auto" w:fill="000000" w:themeFill="text2"/>
            <w:vAlign w:val="bottom"/>
          </w:tcPr>
          <w:p w:rsidR="00EC31FC" w:rsidRPr="00BB6921" w:rsidP="009B21F3">
            <w:pPr>
              <w:pStyle w:val="DisclaimerHeading"/>
              <w:keepLines/>
              <w:spacing w:after="60"/>
              <w:jc w:val="center"/>
              <w:rPr>
                <w:i w:val="0"/>
                <w:color w:val="auto"/>
                <w:sz w:val="19"/>
                <w:szCs w:val="19"/>
              </w:rPr>
            </w:pPr>
            <w:r w:rsidRPr="00BB6921">
              <w:rPr>
                <w:i w:val="0"/>
                <w:color w:val="auto"/>
                <w:sz w:val="19"/>
                <w:szCs w:val="19"/>
              </w:rPr>
              <w:t>Date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FFFFFF" w:themeColor="background1"/>
              <w:bottom w:val="single" w:sz="8" w:space="0" w:color="013366" w:themeColor="accent1"/>
              <w:right w:val="single" w:sz="6" w:space="0" w:color="FFFFFF" w:themeColor="background1"/>
            </w:tcBorders>
            <w:shd w:val="clear" w:color="auto" w:fill="000000" w:themeFill="text2"/>
            <w:vAlign w:val="bottom"/>
          </w:tcPr>
          <w:p w:rsidR="00EC31FC" w:rsidRPr="00BB6921" w:rsidP="009B21F3">
            <w:pPr>
              <w:pStyle w:val="DisclaimerHeading"/>
              <w:keepLines/>
              <w:spacing w:after="60"/>
              <w:jc w:val="center"/>
              <w:rPr>
                <w:color w:val="auto"/>
                <w:sz w:val="19"/>
                <w:szCs w:val="19"/>
              </w:rPr>
            </w:pPr>
            <w:r w:rsidRPr="00BB6921">
              <w:rPr>
                <w:color w:val="auto"/>
                <w:sz w:val="19"/>
                <w:szCs w:val="19"/>
              </w:rPr>
              <w:t>Time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6" w:space="0" w:color="FFFFFF" w:themeColor="background1"/>
              <w:bottom w:val="single" w:sz="8" w:space="0" w:color="013366" w:themeColor="accent1"/>
              <w:right w:val="single" w:sz="8" w:space="0" w:color="auto"/>
            </w:tcBorders>
            <w:shd w:val="clear" w:color="auto" w:fill="000000" w:themeFill="text2"/>
            <w:vAlign w:val="bottom"/>
          </w:tcPr>
          <w:p w:rsidR="00EC31FC" w:rsidRPr="00BB6921" w:rsidP="009B21F3">
            <w:pPr>
              <w:pStyle w:val="DisclaimerHeading"/>
              <w:keepLines/>
              <w:spacing w:after="60"/>
              <w:jc w:val="center"/>
              <w:rPr>
                <w:color w:val="auto"/>
                <w:sz w:val="19"/>
                <w:szCs w:val="19"/>
              </w:rPr>
            </w:pPr>
            <w:r w:rsidRPr="00BB6921">
              <w:rPr>
                <w:color w:val="auto"/>
                <w:sz w:val="19"/>
                <w:szCs w:val="19"/>
              </w:rPr>
              <w:t>Location</w:t>
            </w:r>
          </w:p>
        </w:tc>
        <w:tc>
          <w:tcPr>
            <w:tcW w:w="1816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2"/>
            <w:vAlign w:val="center"/>
          </w:tcPr>
          <w:p w:rsidR="00EC31FC" w:rsidRPr="00C10A93" w:rsidP="009B21F3">
            <w:pPr>
              <w:pStyle w:val="DisclaimerHeading"/>
              <w:keepLines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29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shd w:val="clear" w:color="auto" w:fill="000000" w:themeFill="text2"/>
            <w:vAlign w:val="center"/>
          </w:tcPr>
          <w:p w:rsidR="00EC31FC" w:rsidRPr="00C10A93" w:rsidP="009B21F3">
            <w:pPr>
              <w:pStyle w:val="DisclaimerHeading"/>
              <w:keepLines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Tr="009B21F3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vMerge/>
            <w:tcBorders>
              <w:top w:val="single" w:sz="12" w:space="0" w:color="013366" w:themeColor="accent1"/>
              <w:bottom w:val="none" w:sz="0" w:space="0" w:color="auto"/>
              <w:right w:val="single" w:sz="6" w:space="0" w:color="FFFFFF" w:themeColor="background1"/>
            </w:tcBorders>
            <w:shd w:val="clear" w:color="auto" w:fill="E1F6FF"/>
          </w:tcPr>
          <w:p w:rsidR="00EC31FC" w:rsidRPr="00BB6921" w:rsidP="009B21F3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12" w:space="0" w:color="013366" w:themeColor="accent1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EC31FC" w:rsidRPr="00C10A93" w:rsidP="009B21F3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756" w:type="dxa"/>
            <w:vMerge/>
            <w:tcBorders>
              <w:top w:val="single" w:sz="12" w:space="0" w:color="013366" w:themeColor="accent1"/>
              <w:left w:val="single" w:sz="6" w:space="0" w:color="FFFFFF" w:themeColor="background1"/>
              <w:right w:val="single" w:sz="8" w:space="0" w:color="auto"/>
            </w:tcBorders>
          </w:tcPr>
          <w:p w:rsidR="00EC31FC" w:rsidRPr="00C10A93" w:rsidP="009B21F3">
            <w:pPr>
              <w:pStyle w:val="AttendeesList"/>
              <w:keepLines/>
              <w:spacing w:before="40" w:after="40" w:line="220" w:lineRule="exact"/>
              <w:rPr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013366" w:themeFill="accent1"/>
          </w:tcPr>
          <w:p w:rsidR="00EC31FC" w:rsidRPr="00CE451E" w:rsidP="009B21F3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i/>
                <w:color w:val="013366" w:themeColor="accent1"/>
                <w:sz w:val="18"/>
                <w:szCs w:val="18"/>
              </w:rPr>
            </w:pPr>
            <w:r w:rsidRPr="00CE451E">
              <w:rPr>
                <w:b w:val="0"/>
                <w:i/>
                <w:color w:val="FFFFFF" w:themeColor="background1"/>
                <w:sz w:val="19"/>
                <w:szCs w:val="19"/>
              </w:rPr>
              <w:t>5:00 p.m. EPT deadline*</w:t>
            </w:r>
          </w:p>
        </w:tc>
      </w:tr>
      <w:tr w:rsidTr="009B21F3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EC31FC" w:rsidRPr="00BB6921" w:rsidP="009B21F3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b w:val="0"/>
                <w:i w:val="0"/>
                <w:color w:val="auto"/>
                <w:sz w:val="18"/>
                <w:szCs w:val="18"/>
              </w:rPr>
              <w:t>April 2</w:t>
            </w:r>
            <w:r w:rsidRPr="00EB228F">
              <w:rPr>
                <w:b w:val="0"/>
                <w:i w:val="0"/>
                <w:color w:val="auto"/>
                <w:sz w:val="18"/>
                <w:szCs w:val="18"/>
                <w:vertAlign w:val="superscript"/>
              </w:rPr>
              <w:t>nd</w:t>
            </w:r>
            <w:r>
              <w:rPr>
                <w:b w:val="0"/>
                <w:i w:val="0"/>
                <w:color w:val="auto"/>
                <w:sz w:val="18"/>
                <w:szCs w:val="18"/>
              </w:rPr>
              <w:t>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C" w:rsidRPr="00C10A93" w:rsidP="009B21F3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 w:rsidRPr="000E2050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C" w:rsidRPr="00EB7527" w:rsidP="009B21F3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In Person / 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C" w:rsidRPr="00C10A93" w:rsidP="009B21F3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March 15</w:t>
            </w:r>
            <w:r w:rsidRPr="00EB228F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C" w:rsidRPr="00C10A93" w:rsidP="009B21F3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March 28</w:t>
            </w:r>
            <w:r w:rsidRPr="00EB228F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</w:tr>
      <w:tr w:rsidTr="009B21F3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EC31FC" w:rsidRPr="0055010D" w:rsidP="009B21F3">
            <w:pPr>
              <w:pStyle w:val="DisclaimerHeading"/>
              <w:keepLines/>
              <w:spacing w:before="40" w:after="40" w:line="220" w:lineRule="exact"/>
              <w:jc w:val="left"/>
              <w:rPr>
                <w:color w:val="auto"/>
                <w:sz w:val="18"/>
                <w:szCs w:val="18"/>
              </w:rPr>
            </w:pPr>
            <w:r w:rsidRPr="00EB228F">
              <w:rPr>
                <w:b w:val="0"/>
                <w:i w:val="0"/>
                <w:color w:val="auto"/>
                <w:sz w:val="18"/>
                <w:szCs w:val="18"/>
              </w:rPr>
              <w:t>April 30th,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C" w:rsidRPr="00C10A93" w:rsidP="009B21F3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 w:rsidRPr="000E2050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C" w:rsidRPr="00EB7527" w:rsidP="009B21F3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C" w:rsidRPr="00EB228F" w:rsidP="009B21F3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B228F">
              <w:rPr>
                <w:b w:val="0"/>
                <w:color w:val="auto"/>
                <w:sz w:val="18"/>
                <w:szCs w:val="18"/>
              </w:rPr>
              <w:t>April 12th,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FC" w:rsidRPr="00EB228F" w:rsidP="009B21F3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B228F">
              <w:rPr>
                <w:b w:val="0"/>
                <w:color w:val="auto"/>
                <w:sz w:val="18"/>
                <w:szCs w:val="18"/>
              </w:rPr>
              <w:t>April 25th, 2024</w:t>
            </w:r>
          </w:p>
        </w:tc>
      </w:tr>
      <w:tr w:rsidTr="009B21F3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shd w:val="clear" w:color="auto" w:fill="E1F6FF"/>
          </w:tcPr>
          <w:p w:rsidR="00EC31FC" w:rsidRPr="0055010D" w:rsidP="009B21F3">
            <w:pPr>
              <w:pStyle w:val="DisclaimerHeading"/>
              <w:keepLines/>
              <w:spacing w:before="40" w:after="40" w:line="220" w:lineRule="exact"/>
              <w:jc w:val="left"/>
              <w:rPr>
                <w:color w:val="auto"/>
                <w:sz w:val="18"/>
                <w:szCs w:val="18"/>
              </w:rPr>
            </w:pPr>
            <w:r w:rsidRPr="00EB228F">
              <w:rPr>
                <w:b w:val="0"/>
                <w:i w:val="0"/>
                <w:color w:val="auto"/>
                <w:sz w:val="18"/>
                <w:szCs w:val="18"/>
              </w:rPr>
              <w:t>June 4th,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FC" w:rsidRPr="00C10A93" w:rsidP="009B21F3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 w:rsidRPr="000E2050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FC" w:rsidRPr="00EB7527" w:rsidP="009B21F3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In Person / 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FC" w:rsidRPr="00EB228F" w:rsidP="009B21F3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B228F">
              <w:rPr>
                <w:b w:val="0"/>
                <w:color w:val="auto"/>
                <w:sz w:val="18"/>
                <w:szCs w:val="18"/>
              </w:rPr>
              <w:t>May 17th,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FC" w:rsidRPr="00EB228F" w:rsidP="009B21F3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B228F">
              <w:rPr>
                <w:b w:val="0"/>
                <w:color w:val="auto"/>
                <w:sz w:val="18"/>
                <w:szCs w:val="18"/>
              </w:rPr>
              <w:t>May 30th, 2024</w:t>
            </w:r>
          </w:p>
        </w:tc>
      </w:tr>
    </w:tbl>
    <w:p w:rsidR="00EC31FC" w:rsidP="00EC31FC">
      <w:pPr>
        <w:pStyle w:val="DisclaimerBodyCopy"/>
        <w:keepLines/>
        <w:spacing w:before="60"/>
        <w:jc w:val="right"/>
      </w:pPr>
      <w:r>
        <w:rPr>
          <w:color w:val="1F497D"/>
        </w:rPr>
        <w:t>*Materials received after 12:00 p.m. EPT are not guaranteed timely posting by 5:00 p.m. EPT on the same day.</w:t>
      </w:r>
    </w:p>
    <w:p w:rsidR="000A5EAA" w:rsidP="00E82FEB">
      <w:pPr>
        <w:pStyle w:val="DisclaimerBodyCopy"/>
      </w:pPr>
    </w:p>
    <w:p w:rsidR="000A5EAA" w:rsidP="00E82FEB">
      <w:pPr>
        <w:pStyle w:val="DisclaimerBodyCopy"/>
      </w:pPr>
    </w:p>
    <w:p w:rsidR="00887D1E" w:rsidP="006F3DB6">
      <w:pPr>
        <w:pStyle w:val="PrimaryHeading"/>
        <w:spacing w:line="240" w:lineRule="auto"/>
      </w:pPr>
      <w:r>
        <w:t>Attendance List</w:t>
      </w:r>
    </w:p>
    <w:tbl>
      <w:tblPr>
        <w:tblStyle w:val="TableGrid"/>
        <w:tblW w:w="0" w:type="auto"/>
        <w:tblLook w:val="04A0"/>
      </w:tblPr>
      <w:tblGrid>
        <w:gridCol w:w="1280"/>
        <w:gridCol w:w="1434"/>
        <w:gridCol w:w="4840"/>
        <w:gridCol w:w="1796"/>
      </w:tblGrid>
      <w:tr w:rsidTr="00C42C89">
        <w:tblPrEx>
          <w:tblW w:w="0" w:type="auto"/>
          <w:tblLook w:val="04A0"/>
        </w:tblPrEx>
        <w:trPr>
          <w:trHeight w:val="276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  <w:bCs/>
              </w:rPr>
            </w:pPr>
            <w:r w:rsidRPr="00C42C89">
              <w:rPr>
                <w:b/>
                <w:bCs/>
              </w:rPr>
              <w:t>Last Name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  <w:bCs/>
              </w:rPr>
            </w:pPr>
            <w:r w:rsidRPr="00C42C89">
              <w:rPr>
                <w:b/>
                <w:bCs/>
              </w:rPr>
              <w:t>First Name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  <w:bCs/>
              </w:rPr>
            </w:pPr>
            <w:r w:rsidRPr="00C42C89">
              <w:rPr>
                <w:b/>
                <w:bCs/>
              </w:rPr>
              <w:t>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  <w:bCs/>
              </w:rPr>
            </w:pPr>
            <w:r w:rsidRPr="00C42C89">
              <w:rPr>
                <w:b/>
                <w:bCs/>
              </w:rPr>
              <w:t>Sector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Robson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Matt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SESCO Enterprises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Anderson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Heather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NOVEC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Strata Solar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Bhana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Rajesh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Scheirer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Alexandra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Raval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Chintan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Appalachian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Herel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Suzanne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Arkatin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Tyler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Heitmeyer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Chad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Appalachian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Hanser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Erik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Michigan Public Service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Krizenoskas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Lisa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Holdbrook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Ruth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Northern Virginia Electric Cooperative 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Electric Distributor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Gostkowski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Elizabeth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Service Electric &amp; Gas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Schwass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Jocee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PUCO Ohio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Arsalan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Qamar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Service Electric &amp; Gas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Barker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Jason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Constellation Energy Generation,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Gopalan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Pravi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Appalachian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Dhanasekar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Praveen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Virginia Power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Berner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Aaron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Julie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Duke Energy Ohio,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Kuchan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Meagan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PPL Electric Utilities Corp. dba PPL Utilities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You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Cindy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Sun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Haibin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Constellation Energy Services,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Chang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Sean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Shell Energy North America (US), L.P.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Rettig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Kacie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Garcia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Paula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Union of Concerned Scientists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Swanson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Erika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Enel X North America,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Helm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Gary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Zahidi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Mohamed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PSEG Energy Resources &amp; Trade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Calore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James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Service Electric &amp; Gas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Aurely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Marc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FirstEnergy Corporation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Carmean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Gregory (Greg)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Organization of PJM States, Inc. (OPSI)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Kleppinger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McNees Wallace &amp; </w:t>
            </w:r>
            <w:r w:rsidRPr="00C42C89">
              <w:rPr>
                <w:b/>
              </w:rPr>
              <w:t>Nurick</w:t>
            </w:r>
            <w:r w:rsidRPr="00C42C89">
              <w:rPr>
                <w:b/>
              </w:rPr>
              <w:t xml:space="preserve">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Brandt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Andreas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Commonwealth Edison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Mariam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Yohannes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Office of the Peoples Counsel for the District of Columbia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End-Use Customer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Mills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Paul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Commonwealth Edison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Caristia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James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Service Electric &amp; Gas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McDewell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Christian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Commonwealth of PA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Spatafore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Julia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Anderson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Juliet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Constellation Energy Generation,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Ericson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Christine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Illinois Commerce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Rigler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Alicia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EDP Renewables North America,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Neubrander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Kerry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DC Energy Mid-Atlantic,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Parrot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Sarah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Utilities Commission of Ohio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Apostol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Commonwealth Edison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Sternhagen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Chris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EDP Renewables North America,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Gledhill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Andrew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Johnston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Indiana Utility Regulatory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Van Schaik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Michael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Appalachian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Stadelmeyer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Rebecca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Gable and Associates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McCabe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Ann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Illinois Commerce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Ciabattoni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Joseph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Wallace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Colleen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Virginia Power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Ali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Shadab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PPL Electric Utilities Corp. dba PPL Utilities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Koehler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Nicolas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Indiana-Michigan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Handlin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Michael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Curtis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Kenneth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Drilling Info,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Maucher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Andrea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Division of the Public Advocate of the State of Delaware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End-Use Customer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Ghayas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Awais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Niu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Hui (Grace)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Jones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Scott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Indiana Office of Utility Consumer Counsel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End-Use Customer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Staevska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Asya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Commonwealth of PA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Callen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Zachary (Zac)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Illinios</w:t>
            </w:r>
            <w:r w:rsidRPr="00C42C89">
              <w:rPr>
                <w:b/>
              </w:rPr>
              <w:t xml:space="preserve"> Commerce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McCormick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Katharine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Illinois Commerce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Sweet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Brian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Christopher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Mahila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Utilities Commission of Ohio (The)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VanderLaan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Bill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Illinois Commerce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Szot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Lisa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Szot</w:t>
            </w:r>
            <w:r w:rsidRPr="00C42C89">
              <w:rPr>
                <w:b/>
              </w:rPr>
              <w:t xml:space="preserve"> Energy Services,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McNeil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Justin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Office of the Attorney General, Kentucky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End-Use Customer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Chakraborty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Rahul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Virginia Power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Haque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Asim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Singh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Harliv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Northern States Power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Dadourian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John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Monitoring Analytics,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McClure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Emily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Illinois Commerce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Yasutake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Sarah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Gabel and Associates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Rosenthal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Peter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Energy Aspects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Poulos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Greg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CAPS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Hallett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Brian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FirstEnergy Corporation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Burkholder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Joshua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Appalachian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Seun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Akeyo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Pattern Energy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Graham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Katherine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APX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Papaconstandinou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Antonio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Burkett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Will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Energy Partners,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Grau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Patrick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Apogee Energy Trading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Ford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Adrien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Old Dominion Electric Cooperative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Electric Distributor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Raghavan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Vijay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BioUrga</w:t>
            </w:r>
            <w:r w:rsidRPr="00C42C89">
              <w:rPr>
                <w:b/>
              </w:rPr>
              <w:t xml:space="preserve"> Trading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Roach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Temujin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MISO (Midcontinent Independent System Operator)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Selick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Sam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Customized Energy Solutions, Ltd.*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Zelensky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PPL Electric Utilities Corp. dba PPL Utilities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Adams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Darrin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East Kentucky Power Cooperative,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Bolthouse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Julie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PECVA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Lousos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Alexandros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AMP Transmission,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Lyakhovich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Leonid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Service Electric &amp; Gas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Hehir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Flannan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Appian Way Energy Partners </w:t>
            </w:r>
            <w:r w:rsidRPr="00C42C89">
              <w:rPr>
                <w:b/>
              </w:rPr>
              <w:t>MidAtlantic</w:t>
            </w:r>
            <w:r w:rsidRPr="00C42C89">
              <w:rPr>
                <w:b/>
              </w:rPr>
              <w:t>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Foladare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Kenneth (Ken)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Geenex</w:t>
            </w:r>
            <w:r w:rsidRPr="00C42C89">
              <w:rPr>
                <w:b/>
              </w:rPr>
              <w:t xml:space="preserve"> Solar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Lehmann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Horst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PPL Electric Utilities Corp. dba PPL Utilities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Burgner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Chaz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FirstEnergy Corporation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Bruce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Grey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Samsung C&amp;T America, </w:t>
            </w:r>
            <w:r w:rsidRPr="00C42C89">
              <w:rPr>
                <w:b/>
              </w:rPr>
              <w:t>Inc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Stern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Alexander (Alex)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Service Electric &amp; Gas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Lynch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Jessica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Fletcher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Blake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ETC Endure Energy L.L.C.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Chen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Hong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Jardot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Gina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Essential Power Rock Springs,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Perera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Asanga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Horger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Tim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Razze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Scott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Potomac Electric Power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Electric Distributor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Schavrien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Nick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LS Power Development,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Douglass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Robert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Constellation Energy Generation,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Kelly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Stephen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Brookfield Energy Marketing LP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Greening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Michele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Ng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Perry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Sparhawk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Peter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Bobbio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Emmanuele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Mabry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McNees Wallace &amp; </w:t>
            </w:r>
            <w:r w:rsidRPr="00C42C89">
              <w:rPr>
                <w:b/>
              </w:rPr>
              <w:t>Nurick</w:t>
            </w:r>
            <w:r w:rsidRPr="00C42C89">
              <w:rPr>
                <w:b/>
              </w:rPr>
              <w:t xml:space="preserve">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Cosman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Raul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Fink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Sari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American Clean Power Association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Lojek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Jacquelyn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FirstEnergy Corporation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Dugan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Chuck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East Kentucky Power Cooperative,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Schweiger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Steven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Burns &amp; McDonnell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Foley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Pauline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Burdis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Tim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Martes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Eliasjavier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PPL Electric Utilities Corp. dba PPL Utilities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Hitt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Jason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Duquesne Light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Isaac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Carlos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Heinle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Frederick (Erik)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Office of the Peoples Counsel for the District of Columbia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End-Use Customer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Reid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John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Segner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Sharon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LS Power Development,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Lawson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Ryen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Virginia Power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Wharton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Matthew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Hurd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Shawn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Dayton Power &amp; Light Company (The)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Hepplewhite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Peter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Wrigley Capital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Abate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Stephen (Steve)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Duquesne Light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Brahman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Azade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Orsted</w:t>
            </w:r>
            <w:r w:rsidRPr="00C42C89">
              <w:rPr>
                <w:b/>
              </w:rPr>
              <w:t xml:space="preserve"> US Trading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Nazemi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Danial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Bennett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Stephen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Adnan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Khan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Burns &amp; McDonnell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Nekolny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Christopher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Constellation Energy Generation,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McNicholas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Daniel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Cogentrix</w:t>
            </w:r>
            <w:r w:rsidRPr="00C42C89">
              <w:rPr>
                <w:b/>
              </w:rPr>
              <w:t xml:space="preserve"> Virginia Financing Holding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Mauroschadt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Erich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Cocco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Michael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Old Dominion Electric Cooperative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Electric Distributor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Richards Jr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Cleveland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Price Waterhouse Cooper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Nareshkumar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Koushy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Potomac Electric Power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Electric Distributor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Shegarfi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Roozbeh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Schmitt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Tom 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FirstEnergy Corporation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Laios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Takis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Appalachian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Janicki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Diane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Boston Energy Trading &amp; Marketing,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Guntle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Vince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American </w:t>
            </w:r>
            <w:r w:rsidRPr="00C42C89">
              <w:rPr>
                <w:b/>
              </w:rPr>
              <w:t>PowerNet</w:t>
            </w:r>
            <w:r w:rsidRPr="00C42C89">
              <w:rPr>
                <w:b/>
              </w:rPr>
              <w:t xml:space="preserve"> Management 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End-Use Customer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Stubbs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Devin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NextEra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Haas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Howard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Monitoring Analytics,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Webb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Becky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Commonwealth Edison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Reilly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Alex 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Virginia Power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Hutt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Daniel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Service Electric &amp; Gas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Pond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Rupert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Service Electric &amp; Gas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Terry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Jonathan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Allegheny Electric Cooperative,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Electric Distributor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Muglie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Michael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Kupper</w:t>
            </w:r>
            <w:r w:rsidRPr="00C42C89">
              <w:rPr>
                <w:b/>
              </w:rPr>
              <w:t xml:space="preserve"> Engineering,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Lacek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Mollie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Frede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Shannon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Maryland Public Service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Kascsak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John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Virginia Power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Gordon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Shipley Choice,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Horstmann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John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Dayton Power &amp; Light Company (The)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Petruso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Dominick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PSEG Energy Resources &amp; Trade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Mekala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Karthik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RWE Renewables Americas,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Suh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Jung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Calpine Energy Services, L.P.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Kelley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Fred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Maryland Public Service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Zhou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Ming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PSEG Energy Resources &amp; Trade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Elmore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Sims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Kou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Derek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EDP Renewables North America,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Hohenshilt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Jennifer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Talen Energy Marketing,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Bernstein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Matthew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Yovanovich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Laura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PPL Electric Utilities Corp. dba PPL Utilities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Wehnes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Kathleen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Maryland Public Service Commission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Bazar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Kevin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Senanayake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SAm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PGR Renewables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Moore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Jasmine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Ohio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Bensala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Tarik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Najafabadi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Amin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DNV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Bell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Maria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Ohio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Ondayko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Brock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Appalachian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Azim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Riyasat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Enel X North America,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Smyda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Ashley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FirstEnergy Corporation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Zhou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Zhangxin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Virginia Energy &amp; Power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Kelley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Michael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Mahoor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Mohsen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Virginia Power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Dumitriu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Nicolae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Mwangi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Gertrude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Noel Jeune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Reynaldo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Acciona</w:t>
            </w:r>
            <w:r w:rsidRPr="00C42C89">
              <w:rPr>
                <w:b/>
              </w:rPr>
              <w:t xml:space="preserve"> Energy North America Corporation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Midgley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Sharon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Kalwa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Jason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Public Service Electric &amp; Gas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Fletcher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Blake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ETC Endure Energy L.L.C.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Kumar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Mahesh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Scott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Hugh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Baltimore Gas and Electric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Raval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Chintan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Appalachian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James (Jim)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Energy Generation Marketing,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Hyzinski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Tom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GT Power Group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Leeming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Thomas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Commonwealth Edison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de La Mora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Luis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Strom Power,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Aslam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Nabeel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PSEG Energy Resources &amp; Trade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Malcolm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Jack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Hsia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Eric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Christin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Duquesne Light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Sims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Ryan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Interstate Gas Supply,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Hoatson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Thomas (Tom)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Riverside Generating,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Emberger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Elizabeth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PSEG Energy Resources &amp; Trade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Fidler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Benjamin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Khalili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Ramtin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Virginia Power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Skiba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Kyle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FirstEnergy Corporation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Sloan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Ben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Organization of PJM States, Inc. (OPSI)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Sasser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Jonathan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Customized Energy Solutions, Ltd.*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Gill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Energy Generation Marketing,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Hastings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Market Interconnection Consulting Services (MICS)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Steinkuhl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Steve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Duke Energy Business Services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Zhang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Li (Frank)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Dominion Virginia Power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Thomas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Angela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Northern Virginia Electric Cooperative 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Electric Distributor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Milman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Danielle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Viridon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Potter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Harrison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Virginia Electric &amp; Power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Tekle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Zelalem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Baltimore Gas and Electric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Lescano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Amanda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New Jersey Board of Public Utilities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Bainbridge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Tom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American Transmission Systems,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Kopzhanov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Talgat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MRPGENCO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Electric Distributor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Yeh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Eric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Baltimore Gas and Electric Company 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Mao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Yiming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Cox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Jason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Dynegy Power Marketing,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Generation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Widom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Stuart (Stu)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Benson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Duke Energy Business Services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Hill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Nick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FirstEnergy Corporation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Van Order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Jordan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PA Energy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Williams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Eric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AEP Ohio Transmission Company, Inc.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Yan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Central Transmission,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Mroz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David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Wilson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James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Wilson Energy Economics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Lynn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Brian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Kent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Janessa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Duquesne Light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Kim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Caleb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Baltimore Gas and Electric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Wylie-Chambers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Ericka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Exelon Business Services Company,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 xml:space="preserve">Leith </w:t>
            </w:r>
            <w:r w:rsidRPr="00C42C89">
              <w:rPr>
                <w:b/>
              </w:rPr>
              <w:t>Yessian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Devin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RTO Insider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Iler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Arthur (Art)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Indiana Office of Utility Consumer Counsel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End-Use Customer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Davis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Jay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Atlantic City Electric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Electric Distributor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Filomena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Guy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Customized Energy Solutions, Ltd.*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Whitehead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Jeffrey (Jeff)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GT Power Group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Westendorf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Alex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Commonwealth Edison Company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Owner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Johnson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Carl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Customized Energy Solutions, Ltd.*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Worcester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Alex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Transmission Analytics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VanBlargan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Bryna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Resource Investments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Binder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Gerry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SESCO Enterprises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Other Supplier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Farmer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Larry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TFB Planning Solutions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Goldberg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Jeffrey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  <w:tr w:rsidTr="00C42C89">
        <w:tblPrEx>
          <w:tblW w:w="0" w:type="auto"/>
          <w:tblLook w:val="04A0"/>
        </w:tblPrEx>
        <w:trPr>
          <w:trHeight w:val="288"/>
        </w:trPr>
        <w:tc>
          <w:tcPr>
            <w:tcW w:w="124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Xu</w:t>
            </w:r>
          </w:p>
        </w:tc>
        <w:tc>
          <w:tcPr>
            <w:tcW w:w="15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Xu</w:t>
            </w:r>
          </w:p>
        </w:tc>
        <w:tc>
          <w:tcPr>
            <w:tcW w:w="532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PJM Interconnection, LLC</w:t>
            </w:r>
          </w:p>
        </w:tc>
        <w:tc>
          <w:tcPr>
            <w:tcW w:w="1960" w:type="dxa"/>
            <w:noWrap/>
            <w:hideMark/>
          </w:tcPr>
          <w:p w:rsidR="00C42C89" w:rsidRPr="00C42C89" w:rsidP="00C42C89">
            <w:pPr>
              <w:pStyle w:val="DisclaimerBodyCopy"/>
              <w:rPr>
                <w:b/>
              </w:rPr>
            </w:pPr>
            <w:r w:rsidRPr="00C42C89">
              <w:rPr>
                <w:b/>
              </w:rPr>
              <w:t>None</w:t>
            </w:r>
          </w:p>
        </w:tc>
      </w:tr>
    </w:tbl>
    <w:p w:rsidR="00DB3C3D" w:rsidRPr="00DB3C3D" w:rsidP="00E82FEB">
      <w:pPr>
        <w:pStyle w:val="DisclaimerBodyCopy"/>
        <w:rPr>
          <w:b/>
        </w:rPr>
      </w:pPr>
    </w:p>
    <w:sectPr w:rsidSect="001678E8">
      <w:headerReference w:type="default" r:id="rId5"/>
      <w:footerReference w:type="even" r:id="rId6"/>
      <w:footerReference w:type="default" r:id="rId7"/>
      <w:pgSz w:w="12240" w:h="15840"/>
      <w:pgMar w:top="2358" w:right="1440" w:bottom="1260" w:left="1440" w:header="720" w:footer="66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2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C5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26C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1FC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3" w:name="OLE_LINK1"/>
  <w:p w:rsidR="00BC526C" w:rsidRPr="001678E8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7.4pt" to="468pt,-7.4pt" o:allowincell="f" strokecolor="#013c59" strokeweight="1pt"/>
          </w:pict>
        </mc:Fallback>
      </mc:AlternateContent>
    </w:r>
    <w:r w:rsidRPr="00DB29E9">
      <w:rPr>
        <w:rFonts w:ascii="Arial Narrow" w:hAnsi="Arial Narrow"/>
        <w:sz w:val="20"/>
      </w:rPr>
      <w:t>PJM</w:t>
    </w:r>
    <w:r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©</w:t>
    </w:r>
    <w:r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20</w:t>
    </w:r>
    <w:bookmarkEnd w:id="3"/>
    <w:r>
      <w:rPr>
        <w:rFonts w:ascii="Arial Narrow" w:hAnsi="Arial Narrow"/>
        <w:sz w:val="20"/>
      </w:rPr>
      <w:t>23</w:t>
    </w:r>
    <w:r>
      <w:rPr>
        <w:rFonts w:ascii="Arial Narrow" w:hAnsi="Arial Narrow"/>
        <w:sz w:val="20"/>
      </w:rPr>
      <w:tab/>
      <w:t>For Public Use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526C" w:rsidRPr="00711249" w:rsidP="00711249">
    <w:pPr>
      <w:pStyle w:val="PostingDate"/>
      <w:rPr>
        <w:sz w:val="16"/>
      </w:rPr>
    </w:pPr>
    <w:r w:rsidRPr="00711249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47625</wp:posOffset>
              </wp:positionV>
              <wp:extent cx="7210425" cy="1549019"/>
              <wp:effectExtent l="0" t="0" r="0" b="317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5490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26C" w:rsidRPr="001D3B68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1D3B68">
                            <w:rPr>
                              <w:rFonts w:ascii="Arial Narrow" w:hAnsi="Arial Narrow"/>
                              <w:b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67.75pt;height:110.55pt;margin-top:3.75pt;margin-left:-47.2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 style="mso-fit-shape-to-text:t">
                <w:txbxContent>
                  <w:p w:rsidR="00BC526C" w:rsidRPr="001D3B68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D3B68">
                      <w:rPr>
                        <w:rFonts w:ascii="Arial Narrow" w:hAnsi="Arial Narrow"/>
                        <w:b/>
                      </w:rPr>
                      <w:t>Meeting Minutes</w:t>
                    </w:r>
                  </w:p>
                </w:txbxContent>
              </v:textbox>
            </v:shape>
          </w:pict>
        </mc:Fallback>
      </mc:AlternateContent>
    </w:r>
    <w:r w:rsidRPr="00711249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final.bmp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1FC">
      <w:t>As of February 28</w:t>
    </w:r>
    <w:r w:rsidRPr="00EC31FC" w:rsidR="00EC31FC">
      <w:rPr>
        <w:vertAlign w:val="superscript"/>
      </w:rPr>
      <w:t>th</w:t>
    </w:r>
    <w:r w:rsidR="00EC31FC"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E122B"/>
    <w:multiLevelType w:val="hybridMultilevel"/>
    <w:tmpl w:val="83D61B80"/>
    <w:lvl w:ilvl="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0C1"/>
    <w:multiLevelType w:val="hybridMultilevel"/>
    <w:tmpl w:val="1BD88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FC0"/>
    <w:multiLevelType w:val="hybridMultilevel"/>
    <w:tmpl w:val="60308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 w:tentative="1">
      <w:start w:val="1"/>
      <w:numFmt w:val="decimal"/>
      <w:lvlText w:val="%4."/>
      <w:lvlJc w:val="left"/>
      <w:pPr>
        <w:ind w:left="7560" w:hanging="360"/>
      </w:pPr>
    </w:lvl>
    <w:lvl w:ilvl="4" w:tentative="1">
      <w:start w:val="1"/>
      <w:numFmt w:val="lowerLetter"/>
      <w:lvlText w:val="%5."/>
      <w:lvlJc w:val="left"/>
      <w:pPr>
        <w:ind w:left="8280" w:hanging="360"/>
      </w:pPr>
    </w:lvl>
    <w:lvl w:ilvl="5" w:tentative="1">
      <w:start w:val="1"/>
      <w:numFmt w:val="lowerRoman"/>
      <w:lvlText w:val="%6."/>
      <w:lvlJc w:val="right"/>
      <w:pPr>
        <w:ind w:left="9000" w:hanging="180"/>
      </w:pPr>
    </w:lvl>
    <w:lvl w:ilvl="6" w:tentative="1">
      <w:start w:val="1"/>
      <w:numFmt w:val="decimal"/>
      <w:lvlText w:val="%7."/>
      <w:lvlJc w:val="left"/>
      <w:pPr>
        <w:ind w:left="9720" w:hanging="360"/>
      </w:pPr>
    </w:lvl>
    <w:lvl w:ilvl="7" w:tentative="1">
      <w:start w:val="1"/>
      <w:numFmt w:val="lowerLetter"/>
      <w:lvlText w:val="%8."/>
      <w:lvlJc w:val="left"/>
      <w:pPr>
        <w:ind w:left="10440" w:hanging="360"/>
      </w:pPr>
    </w:lvl>
    <w:lvl w:ilvl="8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B9A768A"/>
    <w:multiLevelType w:val="hybridMultilevel"/>
    <w:tmpl w:val="D3B8ED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6087"/>
    <w:multiLevelType w:val="hybridMultilevel"/>
    <w:tmpl w:val="A64C2442"/>
    <w:lvl w:ilvl="0">
      <w:start w:val="1"/>
      <w:numFmt w:val="decimal"/>
      <w:pStyle w:val="ListSubhead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1160" w:hanging="180"/>
      </w:pPr>
    </w:lvl>
    <w:lvl w:ilvl="3" w:tentative="1">
      <w:start w:val="1"/>
      <w:numFmt w:val="decimal"/>
      <w:lvlText w:val="%4."/>
      <w:lvlJc w:val="left"/>
      <w:pPr>
        <w:ind w:left="11880" w:hanging="360"/>
      </w:pPr>
    </w:lvl>
    <w:lvl w:ilvl="4" w:tentative="1">
      <w:start w:val="1"/>
      <w:numFmt w:val="lowerLetter"/>
      <w:lvlText w:val="%5."/>
      <w:lvlJc w:val="left"/>
      <w:pPr>
        <w:ind w:left="12600" w:hanging="360"/>
      </w:pPr>
    </w:lvl>
    <w:lvl w:ilvl="5" w:tentative="1">
      <w:start w:val="1"/>
      <w:numFmt w:val="lowerRoman"/>
      <w:lvlText w:val="%6."/>
      <w:lvlJc w:val="right"/>
      <w:pPr>
        <w:ind w:left="13320" w:hanging="180"/>
      </w:pPr>
    </w:lvl>
    <w:lvl w:ilvl="6" w:tentative="1">
      <w:start w:val="1"/>
      <w:numFmt w:val="decimal"/>
      <w:lvlText w:val="%7."/>
      <w:lvlJc w:val="left"/>
      <w:pPr>
        <w:ind w:left="14040" w:hanging="360"/>
      </w:pPr>
    </w:lvl>
    <w:lvl w:ilvl="7" w:tentative="1">
      <w:start w:val="1"/>
      <w:numFmt w:val="lowerLetter"/>
      <w:lvlText w:val="%8."/>
      <w:lvlJc w:val="left"/>
      <w:pPr>
        <w:ind w:left="14760" w:hanging="360"/>
      </w:pPr>
    </w:lvl>
    <w:lvl w:ilvl="8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5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1B95CF2"/>
    <w:multiLevelType w:val="hybridMultilevel"/>
    <w:tmpl w:val="2EB2DA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8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34D15F4"/>
    <w:multiLevelType w:val="hybridMultilevel"/>
    <w:tmpl w:val="C2E8E52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E1E60"/>
    <w:multiLevelType w:val="hybridMultilevel"/>
    <w:tmpl w:val="E8ACA25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E"/>
    <w:rsid w:val="00006F95"/>
    <w:rsid w:val="00010057"/>
    <w:rsid w:val="00020D48"/>
    <w:rsid w:val="000232DF"/>
    <w:rsid w:val="00027F49"/>
    <w:rsid w:val="000333FF"/>
    <w:rsid w:val="00053F8D"/>
    <w:rsid w:val="0006798D"/>
    <w:rsid w:val="00092135"/>
    <w:rsid w:val="000A1D69"/>
    <w:rsid w:val="000A5EAA"/>
    <w:rsid w:val="000E2050"/>
    <w:rsid w:val="001048EF"/>
    <w:rsid w:val="00117AF9"/>
    <w:rsid w:val="00121F58"/>
    <w:rsid w:val="001678E8"/>
    <w:rsid w:val="00185E32"/>
    <w:rsid w:val="00186A5D"/>
    <w:rsid w:val="00187040"/>
    <w:rsid w:val="001B2242"/>
    <w:rsid w:val="001C0CC0"/>
    <w:rsid w:val="001D3B68"/>
    <w:rsid w:val="001F6CA4"/>
    <w:rsid w:val="002113BD"/>
    <w:rsid w:val="002166F1"/>
    <w:rsid w:val="002A526E"/>
    <w:rsid w:val="002B2F98"/>
    <w:rsid w:val="002C0092"/>
    <w:rsid w:val="002C6057"/>
    <w:rsid w:val="002C7E6D"/>
    <w:rsid w:val="00305238"/>
    <w:rsid w:val="003251CE"/>
    <w:rsid w:val="00337321"/>
    <w:rsid w:val="00342673"/>
    <w:rsid w:val="00392EBD"/>
    <w:rsid w:val="00394850"/>
    <w:rsid w:val="003A0C59"/>
    <w:rsid w:val="003A13C1"/>
    <w:rsid w:val="003B55E1"/>
    <w:rsid w:val="003C3320"/>
    <w:rsid w:val="003D5775"/>
    <w:rsid w:val="003D7E5C"/>
    <w:rsid w:val="003E7A73"/>
    <w:rsid w:val="0046043F"/>
    <w:rsid w:val="00466AC2"/>
    <w:rsid w:val="00491490"/>
    <w:rsid w:val="00494494"/>
    <w:rsid w:val="004969FA"/>
    <w:rsid w:val="004E69FD"/>
    <w:rsid w:val="00527104"/>
    <w:rsid w:val="0055010D"/>
    <w:rsid w:val="00564DEE"/>
    <w:rsid w:val="0057441E"/>
    <w:rsid w:val="005A341B"/>
    <w:rsid w:val="005A5D0D"/>
    <w:rsid w:val="005A7BFD"/>
    <w:rsid w:val="005D3D3E"/>
    <w:rsid w:val="005D6D05"/>
    <w:rsid w:val="005E0F71"/>
    <w:rsid w:val="006024A0"/>
    <w:rsid w:val="00602967"/>
    <w:rsid w:val="00605EF3"/>
    <w:rsid w:val="00606F11"/>
    <w:rsid w:val="006127DF"/>
    <w:rsid w:val="00656A33"/>
    <w:rsid w:val="006810A5"/>
    <w:rsid w:val="00692D02"/>
    <w:rsid w:val="00697AC5"/>
    <w:rsid w:val="006A4871"/>
    <w:rsid w:val="006C738F"/>
    <w:rsid w:val="006F3DB6"/>
    <w:rsid w:val="006F7A52"/>
    <w:rsid w:val="00711249"/>
    <w:rsid w:val="00712CAA"/>
    <w:rsid w:val="00715BC8"/>
    <w:rsid w:val="00716A8B"/>
    <w:rsid w:val="00721E6E"/>
    <w:rsid w:val="00730F76"/>
    <w:rsid w:val="00732AA7"/>
    <w:rsid w:val="00744A45"/>
    <w:rsid w:val="00754C6D"/>
    <w:rsid w:val="00755096"/>
    <w:rsid w:val="007703B4"/>
    <w:rsid w:val="007760B7"/>
    <w:rsid w:val="00787022"/>
    <w:rsid w:val="007A34A3"/>
    <w:rsid w:val="007C2954"/>
    <w:rsid w:val="007D4F70"/>
    <w:rsid w:val="007E7CAB"/>
    <w:rsid w:val="008017EA"/>
    <w:rsid w:val="00830DB0"/>
    <w:rsid w:val="00837B12"/>
    <w:rsid w:val="00841282"/>
    <w:rsid w:val="008547D8"/>
    <w:rsid w:val="008552A3"/>
    <w:rsid w:val="00882652"/>
    <w:rsid w:val="00887D1E"/>
    <w:rsid w:val="008E3432"/>
    <w:rsid w:val="009171F0"/>
    <w:rsid w:val="00917386"/>
    <w:rsid w:val="009635CA"/>
    <w:rsid w:val="00991528"/>
    <w:rsid w:val="009A5430"/>
    <w:rsid w:val="009A7F95"/>
    <w:rsid w:val="009B21F3"/>
    <w:rsid w:val="009C15C4"/>
    <w:rsid w:val="009F53F9"/>
    <w:rsid w:val="00A05391"/>
    <w:rsid w:val="00A317A9"/>
    <w:rsid w:val="00A41149"/>
    <w:rsid w:val="00A64F54"/>
    <w:rsid w:val="00A723BD"/>
    <w:rsid w:val="00AC2247"/>
    <w:rsid w:val="00AC4BBB"/>
    <w:rsid w:val="00AE3E8C"/>
    <w:rsid w:val="00AF6636"/>
    <w:rsid w:val="00B16D95"/>
    <w:rsid w:val="00B20316"/>
    <w:rsid w:val="00B34E3C"/>
    <w:rsid w:val="00B41C07"/>
    <w:rsid w:val="00B47C80"/>
    <w:rsid w:val="00B6238C"/>
    <w:rsid w:val="00B62597"/>
    <w:rsid w:val="00B75B2A"/>
    <w:rsid w:val="00B7790E"/>
    <w:rsid w:val="00B9586A"/>
    <w:rsid w:val="00BA6146"/>
    <w:rsid w:val="00BB531B"/>
    <w:rsid w:val="00BB6921"/>
    <w:rsid w:val="00BC526C"/>
    <w:rsid w:val="00BD40D5"/>
    <w:rsid w:val="00BF331B"/>
    <w:rsid w:val="00C10A93"/>
    <w:rsid w:val="00C138F1"/>
    <w:rsid w:val="00C42C89"/>
    <w:rsid w:val="00C439EC"/>
    <w:rsid w:val="00C467A8"/>
    <w:rsid w:val="00C51AAA"/>
    <w:rsid w:val="00C5307B"/>
    <w:rsid w:val="00C70E67"/>
    <w:rsid w:val="00C72168"/>
    <w:rsid w:val="00C757F4"/>
    <w:rsid w:val="00C75A9D"/>
    <w:rsid w:val="00C87084"/>
    <w:rsid w:val="00C94E35"/>
    <w:rsid w:val="00CA49B9"/>
    <w:rsid w:val="00CB19DE"/>
    <w:rsid w:val="00CB475B"/>
    <w:rsid w:val="00CC1B47"/>
    <w:rsid w:val="00CC2272"/>
    <w:rsid w:val="00CD3811"/>
    <w:rsid w:val="00CE451E"/>
    <w:rsid w:val="00D06EC8"/>
    <w:rsid w:val="00D136EA"/>
    <w:rsid w:val="00D20511"/>
    <w:rsid w:val="00D251ED"/>
    <w:rsid w:val="00D336D1"/>
    <w:rsid w:val="00D43F97"/>
    <w:rsid w:val="00D55ABA"/>
    <w:rsid w:val="00D831E4"/>
    <w:rsid w:val="00D95949"/>
    <w:rsid w:val="00DA23DE"/>
    <w:rsid w:val="00DB29E9"/>
    <w:rsid w:val="00DB3C3D"/>
    <w:rsid w:val="00DC3680"/>
    <w:rsid w:val="00DC7CCA"/>
    <w:rsid w:val="00DE34CF"/>
    <w:rsid w:val="00DF1112"/>
    <w:rsid w:val="00E000B4"/>
    <w:rsid w:val="00E2594B"/>
    <w:rsid w:val="00E32B6B"/>
    <w:rsid w:val="00E355F6"/>
    <w:rsid w:val="00E5387A"/>
    <w:rsid w:val="00E55E84"/>
    <w:rsid w:val="00E65B97"/>
    <w:rsid w:val="00E82FEB"/>
    <w:rsid w:val="00E97A22"/>
    <w:rsid w:val="00EB228F"/>
    <w:rsid w:val="00EB3EAD"/>
    <w:rsid w:val="00EB66C3"/>
    <w:rsid w:val="00EB68B0"/>
    <w:rsid w:val="00EB7527"/>
    <w:rsid w:val="00EC31FC"/>
    <w:rsid w:val="00EF526A"/>
    <w:rsid w:val="00F208F7"/>
    <w:rsid w:val="00F4190F"/>
    <w:rsid w:val="00F5077C"/>
    <w:rsid w:val="00FA3121"/>
    <w:rsid w:val="00FB1739"/>
    <w:rsid w:val="00FC2B9A"/>
    <w:rsid w:val="00FE2A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987A62"/>
  <w15:docId w15:val="{6109BB3B-8101-4936-A7C2-7FEAB1E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/>
      <w:ind w:left="720" w:hanging="720"/>
      <w:outlineLvl w:val="0"/>
    </w:pPr>
    <w:rPr>
      <w:rFonts w:ascii="Arial Narrow" w:hAnsi="Arial Narrow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rPr>
      <w:rFonts w:ascii="Arial Narrow" w:hAnsi="Arial Narrow"/>
      <w:b/>
    </w:rPr>
  </w:style>
  <w:style w:type="paragraph" w:customStyle="1" w:styleId="PrimaryHeading">
    <w:name w:val="Primary Heading"/>
    <w:basedOn w:val="Normal"/>
    <w:qFormat/>
    <w:rsid w:val="007C2954"/>
    <w:pPr>
      <w:keepNext/>
      <w:shd w:val="clear" w:color="auto" w:fill="00B0F0" w:themeFill="accent3"/>
      <w:spacing w:after="120" w:line="276" w:lineRule="auto"/>
      <w:outlineLvl w:val="0"/>
    </w:pPr>
    <w:rPr>
      <w:rFonts w:ascii="Arial Narrow" w:hAnsi="Arial Narrow" w:eastAsiaTheme="minorHAnsi" w:cstheme="minorBidi"/>
      <w:b/>
      <w:color w:val="FFFFFF" w:themeColor="background1"/>
      <w:kern w:val="28"/>
      <w:sz w:val="22"/>
      <w:szCs w:val="22"/>
    </w:rPr>
  </w:style>
  <w:style w:type="paragraph" w:customStyle="1" w:styleId="ListedItem">
    <w:name w:val="Listed Item"/>
    <w:qFormat/>
    <w:rsid w:val="007A34A3"/>
    <w:pPr>
      <w:numPr>
        <w:numId w:val="10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link w:val="NoListBodyChar"/>
    <w:qFormat/>
    <w:rsid w:val="007A34A3"/>
    <w:pPr>
      <w:tabs>
        <w:tab w:val="left" w:pos="1440"/>
        <w:tab w:val="left" w:pos="1800"/>
      </w:tabs>
      <w:spacing w:after="240"/>
      <w:ind w:left="720"/>
    </w:pPr>
    <w:rPr>
      <w:rFonts w:ascii="Arial Narrow" w:hAnsi="Arial Narrow"/>
      <w:sz w:val="20"/>
      <w:szCs w:val="20"/>
    </w:rPr>
  </w:style>
  <w:style w:type="character" w:customStyle="1" w:styleId="NoListBodyChar">
    <w:name w:val="No List Body Char"/>
    <w:basedOn w:val="DefaultParagraphFont"/>
    <w:link w:val="NoListBody"/>
    <w:rsid w:val="003C3320"/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</w:pPr>
    <w:rPr>
      <w:rFonts w:ascii="Arial Narrow" w:hAnsi="Arial Narrow"/>
      <w:sz w:val="20"/>
      <w:szCs w:val="22"/>
    </w:rPr>
  </w:style>
  <w:style w:type="paragraph" w:customStyle="1" w:styleId="DisclosureTitle">
    <w:name w:val="Disclosure Title"/>
    <w:basedOn w:val="Normal"/>
    <w:link w:val="DisclosureTitleChar"/>
    <w:rsid w:val="00337321"/>
    <w:rPr>
      <w:rFonts w:ascii="Arial Narrow" w:hAnsi="Arial Narrow"/>
      <w:b/>
      <w:color w:val="013C59"/>
      <w:sz w:val="16"/>
      <w:szCs w:val="16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rPr>
      <w:rFonts w:ascii="Arial Narrow" w:hAnsi="Arial Narrow"/>
      <w:sz w:val="16"/>
      <w:szCs w:val="16"/>
    </w:rPr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</w:pPr>
    <w:rPr>
      <w:rFonts w:ascii="Arial Narrow" w:hAnsi="Arial Narrow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11"/>
      </w:numPr>
      <w:tabs>
        <w:tab w:val="left" w:pos="0"/>
      </w:tabs>
      <w:spacing w:line="240" w:lineRule="auto"/>
    </w:pPr>
    <w:rPr>
      <w:rFonts w:ascii="Arial Narrow" w:eastAsia="Times New Roman" w:hAnsi="Arial Narrow" w:cs="Times New Roman"/>
      <w:b/>
      <w:sz w:val="24"/>
    </w:rPr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link w:val="AttendeesListChar"/>
    <w:rsid w:val="00754C6D"/>
    <w:rPr>
      <w:rFonts w:ascii="Arial Narrow" w:eastAsia="Times New Roman" w:hAnsi="Arial Narrow" w:cs="Times New Roman"/>
      <w:sz w:val="18"/>
      <w:szCs w:val="16"/>
    </w:rPr>
  </w:style>
  <w:style w:type="character" w:customStyle="1" w:styleId="AttendeesListChar">
    <w:name w:val="Attendees List Char"/>
    <w:basedOn w:val="DefaultParagraphFont"/>
    <w:link w:val="AttendeesList"/>
    <w:rsid w:val="003C3320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pPr>
      <w:spacing w:after="200" w:line="276" w:lineRule="auto"/>
    </w:pPr>
    <w:rPr>
      <w:rFonts w:ascii="Trade Gothic LT Std Bold" w:hAnsi="Trade Gothic LT Std Bold" w:eastAsiaTheme="minorHAnsi" w:cstheme="minorBidi"/>
      <w:color w:val="FFFFFF" w:themeColor="background1"/>
      <w:sz w:val="52"/>
      <w:szCs w:val="2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DB29E9"/>
  </w:style>
  <w:style w:type="character" w:customStyle="1" w:styleId="SecondaryHeading-NumberedChar">
    <w:name w:val="Secondary Heading - Numbered Char"/>
    <w:basedOn w:val="ListSubhead1Char"/>
    <w:link w:val="SecondaryHeading-Numbered"/>
    <w:rsid w:val="00DB29E9"/>
    <w:rPr>
      <w:rFonts w:ascii="Arial Narrow" w:eastAsia="Times New Roman" w:hAnsi="Arial Narrow" w:cs="Times New Roman"/>
      <w:b/>
      <w:sz w:val="24"/>
    </w:rPr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CE"/>
    <w:rPr>
      <w:color w:val="800080" w:themeColor="followedHyperlink"/>
      <w:u w:val="single"/>
    </w:rPr>
  </w:style>
  <w:style w:type="paragraph" w:customStyle="1" w:styleId="PostingDate">
    <w:name w:val="Posting Date"/>
    <w:basedOn w:val="Normal"/>
    <w:link w:val="PostingDateChar"/>
    <w:qFormat/>
    <w:rsid w:val="00394850"/>
    <w:pPr>
      <w:spacing w:before="60" w:after="200" w:line="276" w:lineRule="auto"/>
      <w:ind w:left="-907" w:right="-994"/>
      <w:jc w:val="right"/>
    </w:pPr>
    <w:rPr>
      <w:rFonts w:ascii="Arial Narrow" w:hAnsi="Arial Narrow"/>
      <w:i/>
      <w:noProof/>
      <w:color w:val="013366" w:themeColor="accent1"/>
      <w:sz w:val="17"/>
    </w:rPr>
  </w:style>
  <w:style w:type="character" w:customStyle="1" w:styleId="PostingDateChar">
    <w:name w:val="Posting Date Char"/>
    <w:basedOn w:val="DefaultParagraphFont"/>
    <w:link w:val="PostingDate"/>
    <w:rsid w:val="00394850"/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paragraph" w:customStyle="1" w:styleId="TableHeading">
    <w:name w:val="Table_Heading"/>
    <w:basedOn w:val="Normal"/>
    <w:link w:val="TableHeadingChar"/>
    <w:qFormat/>
    <w:rsid w:val="003C3320"/>
    <w:pPr>
      <w:keepNext/>
      <w:ind w:left="-58"/>
      <w:outlineLvl w:val="0"/>
    </w:pPr>
    <w:rPr>
      <w:rFonts w:ascii="Arial Narrow" w:hAnsi="Arial Narrow"/>
      <w:b/>
      <w:color w:val="FFFFFF" w:themeColor="background1"/>
      <w:kern w:val="28"/>
    </w:rPr>
  </w:style>
  <w:style w:type="character" w:customStyle="1" w:styleId="TableHeadingChar">
    <w:name w:val="Table_Heading Char"/>
    <w:basedOn w:val="DefaultParagraphFont"/>
    <w:link w:val="TableHeading"/>
    <w:rsid w:val="003C3320"/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table" w:styleId="GridTable2Accent5">
    <w:name w:val="Grid Table 2 Accent 5"/>
    <w:basedOn w:val="TableNormal"/>
    <w:uiPriority w:val="47"/>
    <w:rsid w:val="003C3320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GridTable3Accent5">
    <w:name w:val="Grid Table 3 Accent 5"/>
    <w:basedOn w:val="TableNormal"/>
    <w:uiPriority w:val="48"/>
    <w:rsid w:val="003C332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paragraph" w:customStyle="1" w:styleId="tableheading0">
    <w:name w:val="table heading"/>
    <w:basedOn w:val="NoListBody"/>
    <w:link w:val="tableheadingChar0"/>
    <w:qFormat/>
    <w:rsid w:val="003C3320"/>
    <w:pPr>
      <w:tabs>
        <w:tab w:val="clear" w:pos="1440"/>
        <w:tab w:val="clear" w:pos="1800"/>
      </w:tabs>
      <w:spacing w:after="0"/>
      <w:ind w:left="0"/>
    </w:pPr>
    <w:rPr>
      <w:b/>
      <w:color w:val="FFFFFF" w:themeColor="background1"/>
      <w:sz w:val="22"/>
    </w:rPr>
  </w:style>
  <w:style w:type="character" w:customStyle="1" w:styleId="tableheadingChar0">
    <w:name w:val="table heading Char"/>
    <w:basedOn w:val="NoListBodyChar"/>
    <w:link w:val="tableheading0"/>
    <w:rsid w:val="003C3320"/>
    <w:rPr>
      <w:rFonts w:ascii="Arial Narrow" w:eastAsia="Times New Roman" w:hAnsi="Arial Narrow" w:cs="Times New Roman"/>
      <w:b/>
      <w:color w:val="FFFFFF" w:themeColor="background1"/>
      <w:sz w:val="20"/>
      <w:szCs w:val="20"/>
    </w:rPr>
  </w:style>
  <w:style w:type="paragraph" w:customStyle="1" w:styleId="msonormal">
    <w:name w:val="msonormal"/>
    <w:basedOn w:val="Normal"/>
    <w:rsid w:val="004E69FD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4E69F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4E69FD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4894">
    <w:name w:val="xl4894"/>
    <w:basedOn w:val="Normal"/>
    <w:rsid w:val="004E69FD"/>
    <w:pPr>
      <w:shd w:val="clear" w:color="000000" w:fill="00FFFF"/>
      <w:spacing w:before="100" w:beforeAutospacing="1" w:after="100" w:afterAutospacing="1"/>
    </w:pPr>
  </w:style>
  <w:style w:type="paragraph" w:customStyle="1" w:styleId="xl4895">
    <w:name w:val="xl4895"/>
    <w:basedOn w:val="Normal"/>
    <w:rsid w:val="004E69FD"/>
    <w:pPr>
      <w:shd w:val="clear" w:color="000000" w:fill="00FFFF"/>
      <w:spacing w:before="100" w:beforeAutospacing="1" w:after="100" w:afterAutospacing="1"/>
    </w:pPr>
    <w:rPr>
      <w:b/>
      <w:bCs/>
      <w:color w:val="1F497D"/>
      <w:sz w:val="22"/>
      <w:szCs w:val="22"/>
    </w:rPr>
  </w:style>
  <w:style w:type="paragraph" w:customStyle="1" w:styleId="font7">
    <w:name w:val="font7"/>
    <w:basedOn w:val="Normal"/>
    <w:rsid w:val="003A0C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4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34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4936">
    <w:name w:val="xl4936"/>
    <w:basedOn w:val="Normal"/>
    <w:rsid w:val="00C42C89"/>
    <w:pPr>
      <w:shd w:val="clear" w:color="000000" w:fill="00FFFF"/>
      <w:spacing w:before="100" w:beforeAutospacing="1" w:after="100" w:afterAutospacing="1"/>
    </w:pPr>
  </w:style>
  <w:style w:type="paragraph" w:customStyle="1" w:styleId="xl4937">
    <w:name w:val="xl4937"/>
    <w:basedOn w:val="Normal"/>
    <w:rsid w:val="00C42C89"/>
    <w:pPr>
      <w:shd w:val="clear" w:color="000000" w:fill="00FFFF"/>
      <w:spacing w:before="100" w:beforeAutospacing="1" w:after="100" w:afterAutospacing="1"/>
    </w:pPr>
    <w:rPr>
      <w:b/>
      <w:bCs/>
      <w:color w:val="1F497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hangm\Downloads\Agenda%20(Non%20Operator%20Assisted%20Call).dotx" TargetMode="External" 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C7D2-072B-4542-A742-A1A12162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