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C7694" w:rsidRPr="002E16A0" w:rsidP="00DC7694">
      <w:pPr>
        <w:pStyle w:val="MeetingDetails"/>
      </w:pPr>
      <w:r>
        <w:t>Special MIC: Operating Reserve Clarification for Resources Operating as Requested by PJM</w:t>
      </w:r>
    </w:p>
    <w:p w:rsidR="00DC7694" w:rsidRPr="002E16A0" w:rsidP="00DC7694">
      <w:pPr>
        <w:pStyle w:val="MeetingDetails"/>
      </w:pPr>
      <w:r>
        <w:t>WebEx Only</w:t>
      </w:r>
    </w:p>
    <w:p w:rsidR="00B62597" w:rsidRPr="00B62597" w:rsidP="00755096">
      <w:pPr>
        <w:pStyle w:val="MeetingDetails"/>
      </w:pPr>
      <w:r>
        <w:t>Octo</w:t>
      </w:r>
      <w:r w:rsidR="003670E2">
        <w:t>ber</w:t>
      </w:r>
      <w:r w:rsidR="00884640">
        <w:t xml:space="preserve"> 1</w:t>
      </w:r>
      <w:r>
        <w:t>1</w:t>
      </w:r>
      <w:r w:rsidR="002B2F98">
        <w:t xml:space="preserve">, </w:t>
      </w:r>
      <w:r w:rsidR="00856914">
        <w:t>2024</w:t>
      </w:r>
    </w:p>
    <w:p w:rsidR="00B62597" w:rsidRPr="00B62597" w:rsidP="00755096">
      <w:pPr>
        <w:pStyle w:val="MeetingDetails"/>
        <w:rPr>
          <w:sz w:val="28"/>
          <w:u w:val="single"/>
        </w:rPr>
      </w:pPr>
      <w:r>
        <w:t>9</w:t>
      </w:r>
      <w:r w:rsidR="002B2F98">
        <w:t xml:space="preserve">:00 </w:t>
      </w:r>
      <w:r>
        <w:t>a</w:t>
      </w:r>
      <w:r w:rsidR="002B2F98">
        <w:t xml:space="preserve">.m. – </w:t>
      </w:r>
      <w:r>
        <w:t>12</w:t>
      </w:r>
      <w:r w:rsidR="00010057">
        <w:t xml:space="preserve">:00 </w:t>
      </w:r>
      <w:r w:rsidR="00DC7694">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395FE9">
        <w:t>on (</w:t>
      </w:r>
      <w:r w:rsidR="003670E2">
        <w:t>9</w:t>
      </w:r>
      <w:r w:rsidR="00DC7694">
        <w:t>:00</w:t>
      </w:r>
      <w:r w:rsidR="00C72C75">
        <w:t xml:space="preserve"> </w:t>
      </w:r>
      <w:r w:rsidR="00DC7694">
        <w:t>-</w:t>
      </w:r>
      <w:r w:rsidR="00C72C75">
        <w:t xml:space="preserve"> </w:t>
      </w:r>
      <w:r w:rsidR="003670E2">
        <w:t>9</w:t>
      </w:r>
      <w:r w:rsidRPr="00527104">
        <w:t>:</w:t>
      </w:r>
      <w:r w:rsidR="00DD73B5">
        <w:t>15</w:t>
      </w:r>
      <w:r w:rsidRPr="00527104">
        <w:t>)</w:t>
      </w:r>
    </w:p>
    <w:bookmarkEnd w:id="0"/>
    <w:bookmarkEnd w:id="1"/>
    <w:p w:rsidR="00DC7694" w:rsidRPr="00DC7694" w:rsidP="00DC7694">
      <w:pPr>
        <w:pStyle w:val="SecondaryHeading-Numbered"/>
        <w:numPr>
          <w:ilvl w:val="0"/>
          <w:numId w:val="0"/>
        </w:numPr>
        <w:ind w:left="360"/>
        <w:rPr>
          <w:b w:val="0"/>
        </w:rPr>
      </w:pPr>
      <w:r>
        <w:rPr>
          <w:b w:val="0"/>
        </w:rPr>
        <w:t>Nick DiSciullo</w:t>
      </w:r>
      <w:r w:rsidRPr="00DC7694">
        <w:rPr>
          <w:b w:val="0"/>
        </w:rPr>
        <w:t>, facilitator, will provide a welcome to the meeting.</w:t>
      </w:r>
    </w:p>
    <w:p w:rsidR="00E62B06" w:rsidP="00856914">
      <w:pPr>
        <w:pStyle w:val="SecondaryHeading-Numbered"/>
        <w:numPr>
          <w:ilvl w:val="0"/>
          <w:numId w:val="0"/>
        </w:numPr>
        <w:ind w:left="360"/>
        <w:rPr>
          <w:b w:val="0"/>
        </w:rPr>
      </w:pPr>
      <w:r>
        <w:rPr>
          <w:b w:val="0"/>
        </w:rPr>
        <w:t>Joseph Tutino</w:t>
      </w:r>
      <w:r w:rsidRPr="00DC7694" w:rsidR="00DC7694">
        <w:rPr>
          <w:b w:val="0"/>
        </w:rPr>
        <w:t>, secretary, will review the Antitrust, Code of Conduct, Public Meetings/Media Participation and the WebEx Participant Identification Requirements as detailed at the end of this age</w:t>
      </w:r>
      <w:r w:rsidR="002C6379">
        <w:rPr>
          <w:b w:val="0"/>
        </w:rPr>
        <w:t xml:space="preserve">nda as well as seek </w:t>
      </w:r>
      <w:r w:rsidR="00884640">
        <w:rPr>
          <w:b w:val="0"/>
        </w:rPr>
        <w:t>approval</w:t>
      </w:r>
      <w:r w:rsidR="002C6379">
        <w:rPr>
          <w:b w:val="0"/>
        </w:rPr>
        <w:t xml:space="preserve"> of the minutes from the last meeting.</w:t>
      </w:r>
    </w:p>
    <w:p w:rsidR="00AE6774" w:rsidRPr="00E62B06" w:rsidP="00AE6774">
      <w:pPr>
        <w:pStyle w:val="SecondaryHeading-Numbered"/>
        <w:numPr>
          <w:ilvl w:val="0"/>
          <w:numId w:val="0"/>
        </w:numPr>
        <w:ind w:left="360"/>
        <w:rPr>
          <w:b w:val="0"/>
        </w:rPr>
      </w:pPr>
      <w:hyperlink r:id="rId5" w:history="1">
        <w:r>
          <w:rPr>
            <w:rStyle w:val="Hyperlink"/>
            <w:b w:val="0"/>
          </w:rPr>
          <w:t>Issue Tracking: Operating Reserve Clarification for Resources Operating as Requested by PJM</w:t>
        </w:r>
      </w:hyperlink>
    </w:p>
    <w:p w:rsidR="00BD5F11" w:rsidRPr="00E10EC2" w:rsidP="00E10EC2">
      <w:pPr>
        <w:pStyle w:val="PrimaryHeading"/>
        <w:rPr>
          <w:rStyle w:val="Hyperlink"/>
          <w:color w:val="FFFFFF" w:themeColor="background1"/>
          <w:u w:val="none"/>
        </w:rPr>
      </w:pPr>
      <w:r w:rsidRPr="000150B8">
        <w:t xml:space="preserve">Consensus Based Issue Resolution </w:t>
      </w:r>
      <w:r w:rsidR="00395FE9">
        <w:t>(</w:t>
      </w:r>
      <w:r w:rsidR="003670E2">
        <w:t>9</w:t>
      </w:r>
      <w:r w:rsidR="00395FE9">
        <w:t xml:space="preserve">:15 – </w:t>
      </w:r>
      <w:r w:rsidR="003670E2">
        <w:t>11</w:t>
      </w:r>
      <w:r w:rsidR="00581CC8">
        <w:t>:4</w:t>
      </w:r>
      <w:r w:rsidR="00254231">
        <w:t>5</w:t>
      </w:r>
      <w:r>
        <w:t>)</w:t>
      </w:r>
    </w:p>
    <w:p w:rsidR="008A3C28" w:rsidP="00B72467">
      <w:pPr>
        <w:pStyle w:val="ListSubhead1"/>
        <w:rPr>
          <w:rStyle w:val="Hyperlink"/>
          <w:b w:val="0"/>
          <w:color w:val="auto"/>
          <w:u w:val="none"/>
        </w:rPr>
      </w:pPr>
      <w:r w:rsidRPr="00B72467">
        <w:rPr>
          <w:rStyle w:val="Hyperlink"/>
          <w:b w:val="0"/>
          <w:color w:val="auto"/>
          <w:u w:val="none"/>
        </w:rPr>
        <w:t>Brian Weathers, PJM, will review a presentation on the proposed approach to components of the Balancing Operating Reserve calculation including updates for early eli</w:t>
      </w:r>
      <w:r>
        <w:rPr>
          <w:rStyle w:val="Hyperlink"/>
          <w:b w:val="0"/>
          <w:color w:val="auto"/>
          <w:u w:val="none"/>
        </w:rPr>
        <w:t>gibility and flexible resources</w:t>
      </w:r>
      <w:r w:rsidRPr="00911BE0" w:rsidR="00911BE0">
        <w:rPr>
          <w:rStyle w:val="Hyperlink"/>
          <w:b w:val="0"/>
          <w:color w:val="auto"/>
          <w:u w:val="none"/>
        </w:rPr>
        <w:t>.</w:t>
      </w:r>
    </w:p>
    <w:p w:rsidR="00DD73B5" w:rsidP="00EC5B90">
      <w:pPr>
        <w:pStyle w:val="ListSubhead1"/>
        <w:rPr>
          <w:rStyle w:val="Hyperlink"/>
          <w:b w:val="0"/>
          <w:color w:val="auto"/>
          <w:u w:val="none"/>
        </w:rPr>
      </w:pPr>
      <w:r>
        <w:rPr>
          <w:rStyle w:val="Hyperlink"/>
          <w:b w:val="0"/>
          <w:color w:val="auto"/>
          <w:u w:val="none"/>
        </w:rPr>
        <w:t>Joel Luna, IM</w:t>
      </w:r>
      <w:r w:rsidRPr="00395FE9" w:rsidR="008A3C28">
        <w:rPr>
          <w:rStyle w:val="Hyperlink"/>
          <w:b w:val="0"/>
          <w:color w:val="auto"/>
          <w:u w:val="none"/>
        </w:rPr>
        <w:t>M,</w:t>
      </w:r>
      <w:r w:rsidR="008A3C28">
        <w:rPr>
          <w:rStyle w:val="Hyperlink"/>
          <w:b w:val="0"/>
          <w:color w:val="auto"/>
          <w:u w:val="none"/>
        </w:rPr>
        <w:t xml:space="preserve"> will review </w:t>
      </w:r>
      <w:r w:rsidRPr="00E02C4D" w:rsidR="00E02C4D">
        <w:rPr>
          <w:rStyle w:val="Hyperlink"/>
          <w:b w:val="0"/>
          <w:color w:val="auto"/>
          <w:u w:val="none"/>
        </w:rPr>
        <w:t xml:space="preserve">a </w:t>
      </w:r>
      <w:r w:rsidR="00E10EC2">
        <w:rPr>
          <w:rStyle w:val="Hyperlink"/>
          <w:b w:val="0"/>
          <w:color w:val="auto"/>
          <w:u w:val="none"/>
        </w:rPr>
        <w:t xml:space="preserve">presentation on </w:t>
      </w:r>
      <w:r w:rsidR="00C74A33">
        <w:rPr>
          <w:rStyle w:val="Hyperlink"/>
          <w:b w:val="0"/>
          <w:color w:val="auto"/>
          <w:u w:val="none"/>
        </w:rPr>
        <w:t xml:space="preserve">proposed </w:t>
      </w:r>
      <w:r w:rsidR="00E10EC2">
        <w:rPr>
          <w:rStyle w:val="Hyperlink"/>
          <w:b w:val="0"/>
          <w:color w:val="auto"/>
          <w:u w:val="none"/>
        </w:rPr>
        <w:t>Generator Deviation Changes</w:t>
      </w:r>
      <w:r w:rsidRPr="00E02C4D" w:rsidR="00E02C4D">
        <w:rPr>
          <w:rStyle w:val="Hyperlink"/>
          <w:b w:val="0"/>
          <w:color w:val="auto"/>
          <w:u w:val="none"/>
        </w:rPr>
        <w:t>.</w:t>
      </w:r>
    </w:p>
    <w:p w:rsidR="003670E2" w:rsidP="00EC5B90">
      <w:pPr>
        <w:pStyle w:val="ListSubhead1"/>
        <w:rPr>
          <w:b w:val="0"/>
        </w:rPr>
      </w:pPr>
      <w:r>
        <w:rPr>
          <w:b w:val="0"/>
        </w:rPr>
        <w:t>Nick DiSciullo</w:t>
      </w:r>
      <w:r w:rsidRPr="00DC7694">
        <w:rPr>
          <w:b w:val="0"/>
        </w:rPr>
        <w:t>,</w:t>
      </w:r>
      <w:r>
        <w:rPr>
          <w:b w:val="0"/>
        </w:rPr>
        <w:t xml:space="preserve"> PJM, will review the latest </w:t>
      </w:r>
      <w:r w:rsidR="00C74A33">
        <w:rPr>
          <w:b w:val="0"/>
        </w:rPr>
        <w:t xml:space="preserve">updates to the </w:t>
      </w:r>
      <w:r w:rsidR="00C74A33">
        <w:rPr>
          <w:b w:val="0"/>
        </w:rPr>
        <w:t xml:space="preserve">Solution </w:t>
      </w:r>
      <w:r w:rsidR="00E10EC2">
        <w:rPr>
          <w:b w:val="0"/>
        </w:rPr>
        <w:t xml:space="preserve">Options </w:t>
      </w:r>
      <w:r w:rsidR="00C74A33">
        <w:rPr>
          <w:b w:val="0"/>
        </w:rPr>
        <w:t>in</w:t>
      </w:r>
      <w:r>
        <w:rPr>
          <w:b w:val="0"/>
        </w:rPr>
        <w:t xml:space="preserve"> the matrix.</w:t>
      </w:r>
    </w:p>
    <w:p w:rsidR="00E10EC2" w:rsidP="00EC5B90">
      <w:pPr>
        <w:pStyle w:val="ListSubhead1"/>
        <w:rPr>
          <w:b w:val="0"/>
        </w:rPr>
      </w:pPr>
      <w:r>
        <w:rPr>
          <w:b w:val="0"/>
        </w:rPr>
        <w:t xml:space="preserve">Lisa Morelli, PJM, will review a presentation </w:t>
      </w:r>
      <w:r w:rsidR="00CE25EA">
        <w:rPr>
          <w:b w:val="0"/>
        </w:rPr>
        <w:t>providing an overvi</w:t>
      </w:r>
      <w:r>
        <w:rPr>
          <w:b w:val="0"/>
        </w:rPr>
        <w:t xml:space="preserve">ew of the </w:t>
      </w:r>
      <w:r w:rsidR="00C74A33">
        <w:rPr>
          <w:b w:val="0"/>
        </w:rPr>
        <w:t xml:space="preserve">PJM/IMM </w:t>
      </w:r>
      <w:r>
        <w:rPr>
          <w:b w:val="0"/>
        </w:rPr>
        <w:t xml:space="preserve">Balancing Operating Reserve </w:t>
      </w:r>
      <w:r w:rsidR="000268E6">
        <w:rPr>
          <w:b w:val="0"/>
        </w:rPr>
        <w:t xml:space="preserve">reform </w:t>
      </w:r>
      <w:r>
        <w:rPr>
          <w:b w:val="0"/>
        </w:rPr>
        <w:t>p</w:t>
      </w:r>
      <w:r w:rsidR="00C74A33">
        <w:rPr>
          <w:b w:val="0"/>
        </w:rPr>
        <w:t>ackage</w:t>
      </w:r>
      <w:r>
        <w:rPr>
          <w:b w:val="0"/>
        </w:rPr>
        <w:t>.</w:t>
      </w:r>
    </w:p>
    <w:p w:rsidR="00E10EC2" w:rsidP="00EC5B90">
      <w:pPr>
        <w:pStyle w:val="ListSubhead1"/>
        <w:rPr>
          <w:rStyle w:val="Hyperlink"/>
          <w:b w:val="0"/>
          <w:color w:val="auto"/>
          <w:u w:val="none"/>
        </w:rPr>
      </w:pPr>
      <w:r>
        <w:rPr>
          <w:b w:val="0"/>
        </w:rPr>
        <w:t>Nick DiSciullo</w:t>
      </w:r>
      <w:r w:rsidRPr="00DC7694">
        <w:rPr>
          <w:b w:val="0"/>
        </w:rPr>
        <w:t>,</w:t>
      </w:r>
      <w:r>
        <w:rPr>
          <w:b w:val="0"/>
        </w:rPr>
        <w:t xml:space="preserve"> PJM, will </w:t>
      </w:r>
      <w:r w:rsidR="00C74A33">
        <w:rPr>
          <w:b w:val="0"/>
        </w:rPr>
        <w:t xml:space="preserve">lead a discussion on package development </w:t>
      </w:r>
      <w:r w:rsidR="0044251F">
        <w:rPr>
          <w:b w:val="0"/>
        </w:rPr>
        <w:t>in</w:t>
      </w:r>
      <w:r>
        <w:rPr>
          <w:b w:val="0"/>
        </w:rPr>
        <w:t xml:space="preserve"> the matrix.</w:t>
      </w:r>
    </w:p>
    <w:p w:rsidR="00DC7694" w:rsidP="00865E79">
      <w:pPr>
        <w:pStyle w:val="PrimaryHeading"/>
      </w:pPr>
      <w:r>
        <w:t>Additional</w:t>
      </w:r>
      <w:r w:rsidRPr="00EA565E">
        <w:t xml:space="preserve"> Items (</w:t>
      </w:r>
      <w:r w:rsidR="003670E2">
        <w:t>11</w:t>
      </w:r>
      <w:r w:rsidR="00581CC8">
        <w:t>:45</w:t>
      </w:r>
      <w:r w:rsidR="00164349">
        <w:t xml:space="preserve"> – </w:t>
      </w:r>
      <w:r w:rsidR="003670E2">
        <w:t>12</w:t>
      </w:r>
      <w:r w:rsidR="00581CC8">
        <w:t>:00</w:t>
      </w:r>
      <w:r w:rsidRPr="00EA565E">
        <w:t>)</w:t>
      </w:r>
    </w:p>
    <w:p w:rsidR="003C3320" w:rsidP="00D555B7">
      <w:pPr>
        <w:pStyle w:val="ListSubhead1"/>
        <w:numPr>
          <w:ilvl w:val="0"/>
          <w:numId w:val="0"/>
        </w:numPr>
        <w:ind w:left="360" w:hanging="360"/>
        <w:rPr>
          <w:rStyle w:val="Hyperlink"/>
          <w:b w:val="0"/>
          <w:color w:val="auto"/>
          <w:u w:val="none"/>
        </w:rPr>
      </w:pPr>
      <w:r w:rsidRPr="00DC7694">
        <w:rPr>
          <w:rStyle w:val="Hyperlink"/>
          <w:b w:val="0"/>
          <w:color w:val="auto"/>
          <w:u w:val="none"/>
        </w:rPr>
        <w:t>The facilitation team will review action items from the meeting and take r</w:t>
      </w:r>
      <w:r>
        <w:rPr>
          <w:rStyle w:val="Hyperlink"/>
          <w:b w:val="0"/>
          <w:color w:val="auto"/>
          <w:u w:val="none"/>
        </w:rPr>
        <w:t>equests for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139"/>
        <w:gridCol w:w="3600"/>
        <w:gridCol w:w="1816"/>
        <w:gridCol w:w="1529"/>
      </w:tblGrid>
      <w:tr w:rsidTr="00B31D3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5E2356" w:rsidRPr="003C3320" w:rsidP="00B31D35">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62B06">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i w:val="0"/>
                <w:color w:val="auto"/>
                <w:sz w:val="19"/>
                <w:szCs w:val="19"/>
              </w:rPr>
            </w:pPr>
            <w:r w:rsidRPr="00BB6921">
              <w:rPr>
                <w:i w:val="0"/>
                <w:color w:val="auto"/>
                <w:sz w:val="19"/>
                <w:szCs w:val="19"/>
              </w:rPr>
              <w:t>Date</w:t>
            </w:r>
          </w:p>
        </w:tc>
        <w:tc>
          <w:tcPr>
            <w:tcW w:w="113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Time</w:t>
            </w:r>
          </w:p>
        </w:tc>
        <w:tc>
          <w:tcPr>
            <w:tcW w:w="360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r>
      <w:tr w:rsidTr="00E62B06">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5E2356" w:rsidRPr="00BB6921" w:rsidP="00B31D35">
            <w:pPr>
              <w:pStyle w:val="DisclaimerHeading"/>
              <w:keepLines/>
              <w:spacing w:before="40" w:after="40" w:line="220" w:lineRule="exact"/>
              <w:jc w:val="left"/>
              <w:rPr>
                <w:b w:val="0"/>
                <w:i w:val="0"/>
                <w:color w:val="auto"/>
                <w:sz w:val="18"/>
                <w:szCs w:val="18"/>
              </w:rPr>
            </w:pPr>
          </w:p>
        </w:tc>
        <w:tc>
          <w:tcPr>
            <w:tcW w:w="1139" w:type="dxa"/>
            <w:vMerge/>
            <w:tcBorders>
              <w:top w:val="single" w:sz="12" w:space="0" w:color="013366" w:themeColor="accent1"/>
              <w:left w:val="single" w:sz="6" w:space="0" w:color="FFFFFF" w:themeColor="background1"/>
              <w:right w:val="single" w:sz="6" w:space="0" w:color="FFFFFF" w:themeColor="background1"/>
            </w:tcBorders>
          </w:tcPr>
          <w:p w:rsidR="005E2356" w:rsidRPr="00C10A93" w:rsidP="00B31D35">
            <w:pPr>
              <w:pStyle w:val="DisclaimerHeading"/>
              <w:keepLines/>
              <w:spacing w:before="40" w:after="40" w:line="220" w:lineRule="exact"/>
              <w:rPr>
                <w:b w:val="0"/>
                <w:color w:val="auto"/>
                <w:sz w:val="18"/>
                <w:szCs w:val="18"/>
              </w:rPr>
            </w:pPr>
          </w:p>
        </w:tc>
        <w:tc>
          <w:tcPr>
            <w:tcW w:w="3600" w:type="dxa"/>
            <w:vMerge/>
            <w:tcBorders>
              <w:top w:val="single" w:sz="12" w:space="0" w:color="013366" w:themeColor="accent1"/>
              <w:left w:val="single" w:sz="6" w:space="0" w:color="FFFFFF" w:themeColor="background1"/>
              <w:right w:val="single" w:sz="8" w:space="0" w:color="auto"/>
            </w:tcBorders>
          </w:tcPr>
          <w:p w:rsidR="005E2356" w:rsidRPr="00C10A93" w:rsidP="00B31D35">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5E2356" w:rsidRPr="00CE451E" w:rsidP="00B31D35">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10EC2">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62B06" w:rsidRPr="00E62B06" w:rsidP="00E10EC2">
            <w:pPr>
              <w:pStyle w:val="DisclaimerHeading"/>
              <w:keepLines/>
              <w:spacing w:before="40" w:after="40" w:line="220" w:lineRule="exact"/>
              <w:jc w:val="center"/>
              <w:rPr>
                <w:b w:val="0"/>
                <w:i w:val="0"/>
                <w:color w:val="auto"/>
                <w:sz w:val="18"/>
                <w:szCs w:val="18"/>
              </w:rPr>
            </w:pPr>
            <w:r>
              <w:rPr>
                <w:b w:val="0"/>
                <w:i w:val="0"/>
                <w:color w:val="auto"/>
                <w:sz w:val="18"/>
                <w:szCs w:val="18"/>
              </w:rPr>
              <w:t>Novem</w:t>
            </w:r>
            <w:r w:rsidR="003670E2">
              <w:rPr>
                <w:b w:val="0"/>
                <w:i w:val="0"/>
                <w:color w:val="auto"/>
                <w:sz w:val="18"/>
                <w:szCs w:val="18"/>
              </w:rPr>
              <w:t>ber 1</w:t>
            </w:r>
            <w:r>
              <w:rPr>
                <w:b w:val="0"/>
                <w:i w:val="0"/>
                <w:color w:val="auto"/>
                <w:sz w:val="18"/>
                <w:szCs w:val="18"/>
              </w:rPr>
              <w:t>5</w:t>
            </w:r>
          </w:p>
        </w:tc>
        <w:tc>
          <w:tcPr>
            <w:tcW w:w="1139" w:type="dxa"/>
            <w:tcBorders>
              <w:top w:val="single" w:sz="4" w:space="0" w:color="auto"/>
              <w:left w:val="single" w:sz="4" w:space="0" w:color="auto"/>
              <w:bottom w:val="single" w:sz="4" w:space="0" w:color="auto"/>
              <w:right w:val="single" w:sz="4" w:space="0" w:color="auto"/>
            </w:tcBorders>
          </w:tcPr>
          <w:p w:rsidR="00E62B06" w:rsidRPr="00C10A93" w:rsidP="00E10EC2">
            <w:pPr>
              <w:pStyle w:val="DisclaimerHeading"/>
              <w:keepLines/>
              <w:spacing w:before="40" w:after="40" w:line="220" w:lineRule="exact"/>
              <w:jc w:val="center"/>
              <w:rPr>
                <w:b w:val="0"/>
                <w:color w:val="auto"/>
                <w:sz w:val="18"/>
                <w:szCs w:val="18"/>
              </w:rPr>
            </w:pPr>
            <w:r>
              <w:rPr>
                <w:b w:val="0"/>
                <w:color w:val="auto"/>
                <w:sz w:val="18"/>
                <w:szCs w:val="18"/>
              </w:rPr>
              <w:t>9</w:t>
            </w:r>
            <w:r>
              <w:rPr>
                <w:b w:val="0"/>
                <w:color w:val="auto"/>
                <w:sz w:val="18"/>
                <w:szCs w:val="18"/>
              </w:rPr>
              <w:t xml:space="preserve">:00 – </w:t>
            </w:r>
            <w:r>
              <w:rPr>
                <w:b w:val="0"/>
                <w:color w:val="auto"/>
                <w:sz w:val="18"/>
                <w:szCs w:val="18"/>
              </w:rPr>
              <w:t>12</w:t>
            </w:r>
            <w:r>
              <w:rPr>
                <w:b w:val="0"/>
                <w:color w:val="auto"/>
                <w:sz w:val="18"/>
                <w:szCs w:val="18"/>
              </w:rPr>
              <w:t>:00</w:t>
            </w:r>
          </w:p>
        </w:tc>
        <w:tc>
          <w:tcPr>
            <w:tcW w:w="3600" w:type="dxa"/>
            <w:tcBorders>
              <w:top w:val="single" w:sz="4" w:space="0" w:color="auto"/>
              <w:left w:val="single" w:sz="4" w:space="0" w:color="auto"/>
              <w:bottom w:val="single" w:sz="4" w:space="0" w:color="auto"/>
              <w:right w:val="single" w:sz="4" w:space="0" w:color="auto"/>
            </w:tcBorders>
          </w:tcPr>
          <w:p w:rsidR="00E62B06" w:rsidRPr="00E62B06" w:rsidP="00E10EC2">
            <w:pPr>
              <w:pStyle w:val="AttendeesList"/>
              <w:keepLines/>
              <w:spacing w:before="40" w:after="40" w:line="220" w:lineRule="exact"/>
              <w:jc w:val="center"/>
              <w:rPr>
                <w:szCs w:val="18"/>
              </w:rPr>
            </w:pPr>
            <w:r w:rsidRPr="00E62B06">
              <w:rPr>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E62B06" w:rsidRPr="006E3CF3" w:rsidP="00E10EC2">
            <w:pPr>
              <w:pStyle w:val="DisclaimerHeading"/>
              <w:keepLines/>
              <w:spacing w:before="40" w:after="40" w:line="220" w:lineRule="exact"/>
              <w:jc w:val="center"/>
              <w:rPr>
                <w:b w:val="0"/>
                <w:color w:val="auto"/>
                <w:sz w:val="18"/>
                <w:szCs w:val="18"/>
              </w:rPr>
            </w:pPr>
            <w:r>
              <w:rPr>
                <w:b w:val="0"/>
                <w:color w:val="auto"/>
                <w:sz w:val="18"/>
                <w:szCs w:val="18"/>
              </w:rPr>
              <w:t>November 12</w:t>
            </w:r>
          </w:p>
        </w:tc>
        <w:tc>
          <w:tcPr>
            <w:tcW w:w="1529" w:type="dxa"/>
            <w:tcBorders>
              <w:top w:val="single" w:sz="4" w:space="0" w:color="auto"/>
              <w:left w:val="single" w:sz="4" w:space="0" w:color="auto"/>
              <w:bottom w:val="single" w:sz="4" w:space="0" w:color="auto"/>
              <w:right w:val="single" w:sz="4" w:space="0" w:color="auto"/>
            </w:tcBorders>
          </w:tcPr>
          <w:p w:rsidR="00E62B06" w:rsidRPr="006E3CF3" w:rsidP="00E10EC2">
            <w:pPr>
              <w:pStyle w:val="DisclaimerHeading"/>
              <w:keepLines/>
              <w:spacing w:before="40" w:after="40" w:line="220" w:lineRule="exact"/>
              <w:jc w:val="center"/>
              <w:rPr>
                <w:b w:val="0"/>
                <w:color w:val="auto"/>
                <w:sz w:val="18"/>
                <w:szCs w:val="18"/>
              </w:rPr>
            </w:pPr>
            <w:r>
              <w:rPr>
                <w:b w:val="0"/>
                <w:color w:val="auto"/>
                <w:sz w:val="18"/>
                <w:szCs w:val="18"/>
              </w:rPr>
              <w:t>Novem</w:t>
            </w:r>
            <w:r w:rsidR="003670E2">
              <w:rPr>
                <w:b w:val="0"/>
                <w:color w:val="auto"/>
                <w:sz w:val="18"/>
                <w:szCs w:val="18"/>
              </w:rPr>
              <w:t xml:space="preserve">ber </w:t>
            </w:r>
            <w:r>
              <w:rPr>
                <w:b w:val="0"/>
                <w:color w:val="auto"/>
                <w:sz w:val="18"/>
                <w:szCs w:val="18"/>
              </w:rPr>
              <w:t>7</w:t>
            </w:r>
          </w:p>
        </w:tc>
      </w:tr>
      <w:tr w:rsidTr="00E62B06">
        <w:tblPrEx>
          <w:tblW w:w="0" w:type="auto"/>
          <w:tblLook w:val="04A0"/>
        </w:tblPrEx>
        <w:trPr>
          <w:trHeight w:val="331"/>
        </w:trPr>
        <w:tc>
          <w:tcPr>
            <w:tcW w:w="1201" w:type="dxa"/>
            <w:tcBorders>
              <w:top w:val="single" w:sz="4" w:space="0" w:color="auto"/>
              <w:right w:val="single" w:sz="4" w:space="0" w:color="auto"/>
            </w:tcBorders>
            <w:shd w:val="clear" w:color="auto" w:fill="E1F6FF"/>
          </w:tcPr>
          <w:p w:rsidR="00E10EC2" w:rsidP="00E10EC2">
            <w:pPr>
              <w:pStyle w:val="DisclaimerHeading"/>
              <w:keepLines/>
              <w:spacing w:before="40" w:after="40" w:line="220" w:lineRule="exact"/>
              <w:jc w:val="center"/>
              <w:rPr>
                <w:b w:val="0"/>
                <w:i w:val="0"/>
                <w:color w:val="auto"/>
                <w:sz w:val="18"/>
                <w:szCs w:val="18"/>
              </w:rPr>
            </w:pPr>
            <w:r>
              <w:rPr>
                <w:b w:val="0"/>
                <w:i w:val="0"/>
                <w:color w:val="auto"/>
                <w:sz w:val="18"/>
                <w:szCs w:val="18"/>
              </w:rPr>
              <w:t>December 9</w:t>
            </w:r>
          </w:p>
        </w:tc>
        <w:tc>
          <w:tcPr>
            <w:tcW w:w="1139" w:type="dxa"/>
            <w:tcBorders>
              <w:top w:val="single" w:sz="4" w:space="0" w:color="auto"/>
              <w:left w:val="single" w:sz="4" w:space="0" w:color="auto"/>
              <w:right w:val="single" w:sz="4" w:space="0" w:color="auto"/>
            </w:tcBorders>
          </w:tcPr>
          <w:p w:rsidR="00E10EC2" w:rsidP="00E10EC2">
            <w:pPr>
              <w:pStyle w:val="DisclaimerHeading"/>
              <w:keepLines/>
              <w:spacing w:before="40" w:after="40" w:line="220" w:lineRule="exact"/>
              <w:jc w:val="center"/>
              <w:rPr>
                <w:b w:val="0"/>
                <w:color w:val="auto"/>
                <w:sz w:val="18"/>
                <w:szCs w:val="18"/>
              </w:rPr>
            </w:pPr>
            <w:r>
              <w:rPr>
                <w:b w:val="0"/>
                <w:color w:val="auto"/>
                <w:sz w:val="18"/>
                <w:szCs w:val="18"/>
              </w:rPr>
              <w:t>1:00 – 4:00</w:t>
            </w:r>
          </w:p>
        </w:tc>
        <w:tc>
          <w:tcPr>
            <w:tcW w:w="3600" w:type="dxa"/>
            <w:tcBorders>
              <w:top w:val="single" w:sz="4" w:space="0" w:color="auto"/>
              <w:left w:val="single" w:sz="4" w:space="0" w:color="auto"/>
              <w:right w:val="single" w:sz="4" w:space="0" w:color="auto"/>
            </w:tcBorders>
          </w:tcPr>
          <w:p w:rsidR="00E10EC2" w:rsidRPr="00E62B06" w:rsidP="00E10EC2">
            <w:pPr>
              <w:pStyle w:val="AttendeesList"/>
              <w:keepLines/>
              <w:spacing w:before="40" w:after="40" w:line="220" w:lineRule="exact"/>
              <w:jc w:val="center"/>
              <w:rPr>
                <w:szCs w:val="18"/>
              </w:rPr>
            </w:pPr>
            <w:r w:rsidRPr="00E62B06">
              <w:rPr>
                <w:szCs w:val="18"/>
              </w:rPr>
              <w:t>WebEx Only</w:t>
            </w:r>
          </w:p>
        </w:tc>
        <w:tc>
          <w:tcPr>
            <w:tcW w:w="1816" w:type="dxa"/>
            <w:tcBorders>
              <w:top w:val="single" w:sz="4" w:space="0" w:color="auto"/>
              <w:left w:val="single" w:sz="4" w:space="0" w:color="auto"/>
              <w:right w:val="single" w:sz="4" w:space="0" w:color="auto"/>
            </w:tcBorders>
          </w:tcPr>
          <w:p w:rsidR="00E10EC2" w:rsidP="00E10EC2">
            <w:pPr>
              <w:pStyle w:val="DisclaimerHeading"/>
              <w:keepLines/>
              <w:spacing w:before="40" w:after="40" w:line="220" w:lineRule="exact"/>
              <w:jc w:val="center"/>
              <w:rPr>
                <w:b w:val="0"/>
                <w:color w:val="auto"/>
                <w:sz w:val="18"/>
                <w:szCs w:val="18"/>
              </w:rPr>
            </w:pPr>
            <w:r>
              <w:rPr>
                <w:b w:val="0"/>
                <w:color w:val="auto"/>
                <w:sz w:val="18"/>
                <w:szCs w:val="18"/>
              </w:rPr>
              <w:t>November 27</w:t>
            </w:r>
          </w:p>
        </w:tc>
        <w:tc>
          <w:tcPr>
            <w:tcW w:w="1529" w:type="dxa"/>
            <w:tcBorders>
              <w:top w:val="single" w:sz="4" w:space="0" w:color="auto"/>
              <w:left w:val="single" w:sz="4" w:space="0" w:color="auto"/>
              <w:right w:val="single" w:sz="4" w:space="0" w:color="auto"/>
            </w:tcBorders>
          </w:tcPr>
          <w:p w:rsidR="00E10EC2" w:rsidP="00E10EC2">
            <w:pPr>
              <w:pStyle w:val="DisclaimerHeading"/>
              <w:keepLines/>
              <w:spacing w:before="40" w:after="40" w:line="220" w:lineRule="exact"/>
              <w:jc w:val="center"/>
              <w:rPr>
                <w:b w:val="0"/>
                <w:color w:val="auto"/>
                <w:sz w:val="18"/>
                <w:szCs w:val="18"/>
              </w:rPr>
            </w:pPr>
            <w:r>
              <w:rPr>
                <w:b w:val="0"/>
                <w:color w:val="auto"/>
                <w:sz w:val="18"/>
                <w:szCs w:val="18"/>
              </w:rPr>
              <w:t>December 4</w:t>
            </w:r>
          </w:p>
        </w:tc>
      </w:tr>
    </w:tbl>
    <w:p w:rsidR="00556961" w:rsidRPr="00556961" w:rsidP="00556961">
      <w:pPr>
        <w:pStyle w:val="DisclaimerBodyCopy"/>
        <w:keepLines/>
        <w:spacing w:before="60"/>
        <w:jc w:val="right"/>
      </w:pPr>
      <w:r>
        <w:rPr>
          <w:color w:val="1F497D"/>
        </w:rPr>
        <w:t>*Materials received after 12:00 p.m. EPT are not guaranteed timely posting by 5:00 p.m. EPT on the same day.</w:t>
      </w:r>
    </w:p>
    <w:p w:rsidR="00B62597" w:rsidP="00337321">
      <w:pPr>
        <w:pStyle w:val="Author"/>
      </w:pPr>
      <w:r>
        <w:t xml:space="preserve">Author: </w:t>
      </w:r>
      <w:r w:rsidR="00884640">
        <w:t>Joseph Tutino</w:t>
      </w:r>
    </w:p>
    <w:p w:rsidR="00556961" w:rsidP="00FA5955">
      <w:pPr>
        <w:pStyle w:val="DisclaimerHeading"/>
        <w:spacing w:before="240"/>
      </w:pPr>
    </w:p>
    <w:p w:rsidR="00556961" w:rsidP="00FA5955">
      <w:pPr>
        <w:pStyle w:val="DisclaimerHeading"/>
        <w:spacing w:before="240"/>
      </w:pPr>
    </w:p>
    <w:p w:rsidR="00556961" w:rsidP="00FA5955">
      <w:pPr>
        <w:pStyle w:val="DisclaimerHeading"/>
        <w:spacing w:before="240"/>
      </w:pPr>
    </w:p>
    <w:p w:rsidR="00827346" w:rsidP="00FA5955">
      <w:pPr>
        <w:pStyle w:val="DisclaimerHeading"/>
        <w:spacing w:before="240"/>
      </w:pPr>
    </w:p>
    <w:p w:rsidR="00B62597" w:rsidRPr="00B62597" w:rsidP="00FA5955">
      <w:pPr>
        <w:pStyle w:val="DisclaimerHeading"/>
        <w:spacing w:before="240"/>
      </w:pPr>
      <w:bookmarkStart w:id="2" w:name="_GoBack"/>
      <w:bookmarkEnd w:id="2"/>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27346">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21C96">
      <w:rPr>
        <w:rFonts w:ascii="Arial Narrow" w:hAnsi="Arial Narrow"/>
        <w:sz w:val="20"/>
      </w:rPr>
      <w:t>4</w:t>
    </w:r>
    <w:r w:rsidR="00991528">
      <w:rPr>
        <w:rFonts w:ascii="Arial Narrow" w:hAnsi="Arial Narrow"/>
        <w:sz w:val="20"/>
      </w:rPr>
      <w:tab/>
    </w:r>
    <w:r w:rsidR="00116A2B">
      <w:rPr>
        <w:rFonts w:ascii="Arial Narrow" w:hAnsi="Arial Narrow"/>
        <w:sz w:val="20"/>
      </w:rPr>
      <w:t>For Public Use</w:t>
    </w:r>
    <w:r w:rsidR="000232DF">
      <w:rPr>
        <w:rFonts w:ascii="Arial Narrow" w:hAnsi="Arial Narrow"/>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E10EC2">
      <w:t>Octo</w:t>
    </w:r>
    <w:r w:rsidR="003670E2">
      <w:t xml:space="preserve">ber </w:t>
    </w:r>
    <w:r w:rsidR="00E10EC2">
      <w:t>8</w:t>
    </w:r>
    <w:r w:rsidR="00A56D57">
      <w:t>, 202</w:t>
    </w:r>
    <w:r w:rsidR="0085691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DFA67BE"/>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94"/>
    <w:rsid w:val="00010057"/>
    <w:rsid w:val="000150B8"/>
    <w:rsid w:val="000232DF"/>
    <w:rsid w:val="000268E6"/>
    <w:rsid w:val="00027F49"/>
    <w:rsid w:val="000333FF"/>
    <w:rsid w:val="0006798D"/>
    <w:rsid w:val="00092135"/>
    <w:rsid w:val="000924FC"/>
    <w:rsid w:val="000A49A1"/>
    <w:rsid w:val="000F1968"/>
    <w:rsid w:val="00116A2B"/>
    <w:rsid w:val="00117AF9"/>
    <w:rsid w:val="00121F58"/>
    <w:rsid w:val="00134796"/>
    <w:rsid w:val="00164349"/>
    <w:rsid w:val="001678E8"/>
    <w:rsid w:val="00170E02"/>
    <w:rsid w:val="001912EB"/>
    <w:rsid w:val="001A2681"/>
    <w:rsid w:val="001A5201"/>
    <w:rsid w:val="001B2242"/>
    <w:rsid w:val="001B43CE"/>
    <w:rsid w:val="001B7135"/>
    <w:rsid w:val="001C0CC0"/>
    <w:rsid w:val="001C668B"/>
    <w:rsid w:val="001D0637"/>
    <w:rsid w:val="001D3B68"/>
    <w:rsid w:val="001D52FB"/>
    <w:rsid w:val="002113BD"/>
    <w:rsid w:val="002176EF"/>
    <w:rsid w:val="00222DFB"/>
    <w:rsid w:val="0025139E"/>
    <w:rsid w:val="00254231"/>
    <w:rsid w:val="00276640"/>
    <w:rsid w:val="002B2F98"/>
    <w:rsid w:val="002C6057"/>
    <w:rsid w:val="002C6379"/>
    <w:rsid w:val="002D2017"/>
    <w:rsid w:val="002E16A0"/>
    <w:rsid w:val="00305238"/>
    <w:rsid w:val="003251CE"/>
    <w:rsid w:val="00330E93"/>
    <w:rsid w:val="00337321"/>
    <w:rsid w:val="00352E57"/>
    <w:rsid w:val="00356454"/>
    <w:rsid w:val="003670E2"/>
    <w:rsid w:val="00394850"/>
    <w:rsid w:val="00395FE9"/>
    <w:rsid w:val="003B55E1"/>
    <w:rsid w:val="003C17E2"/>
    <w:rsid w:val="003C3320"/>
    <w:rsid w:val="003D7E5C"/>
    <w:rsid w:val="003E7A73"/>
    <w:rsid w:val="004379D3"/>
    <w:rsid w:val="0044251F"/>
    <w:rsid w:val="00454751"/>
    <w:rsid w:val="0046043F"/>
    <w:rsid w:val="00491490"/>
    <w:rsid w:val="00494494"/>
    <w:rsid w:val="004969FA"/>
    <w:rsid w:val="004B4599"/>
    <w:rsid w:val="004E41E5"/>
    <w:rsid w:val="00503DAA"/>
    <w:rsid w:val="00527104"/>
    <w:rsid w:val="00546472"/>
    <w:rsid w:val="00556961"/>
    <w:rsid w:val="00557E43"/>
    <w:rsid w:val="00564DEE"/>
    <w:rsid w:val="0057441E"/>
    <w:rsid w:val="00581CC8"/>
    <w:rsid w:val="0059108D"/>
    <w:rsid w:val="005A5D0D"/>
    <w:rsid w:val="005D00F4"/>
    <w:rsid w:val="005D5C5F"/>
    <w:rsid w:val="005D6D05"/>
    <w:rsid w:val="005E2356"/>
    <w:rsid w:val="006024A0"/>
    <w:rsid w:val="00602967"/>
    <w:rsid w:val="00606F11"/>
    <w:rsid w:val="0067194C"/>
    <w:rsid w:val="00681AA1"/>
    <w:rsid w:val="006A1F36"/>
    <w:rsid w:val="006A7007"/>
    <w:rsid w:val="006B06EE"/>
    <w:rsid w:val="006C738F"/>
    <w:rsid w:val="006E3CF3"/>
    <w:rsid w:val="006F7A52"/>
    <w:rsid w:val="00711249"/>
    <w:rsid w:val="00712CAA"/>
    <w:rsid w:val="00716A8B"/>
    <w:rsid w:val="00730F76"/>
    <w:rsid w:val="00744A45"/>
    <w:rsid w:val="0075340F"/>
    <w:rsid w:val="00754C6D"/>
    <w:rsid w:val="00755096"/>
    <w:rsid w:val="007703B4"/>
    <w:rsid w:val="007766E7"/>
    <w:rsid w:val="00777623"/>
    <w:rsid w:val="007817CE"/>
    <w:rsid w:val="007927DA"/>
    <w:rsid w:val="007A34A3"/>
    <w:rsid w:val="007C2954"/>
    <w:rsid w:val="007D3693"/>
    <w:rsid w:val="007D3C2A"/>
    <w:rsid w:val="007D4F70"/>
    <w:rsid w:val="007E7CAB"/>
    <w:rsid w:val="0080440B"/>
    <w:rsid w:val="0082387E"/>
    <w:rsid w:val="00827346"/>
    <w:rsid w:val="00837B12"/>
    <w:rsid w:val="008410E2"/>
    <w:rsid w:val="00841282"/>
    <w:rsid w:val="00847FC4"/>
    <w:rsid w:val="008552A3"/>
    <w:rsid w:val="00856914"/>
    <w:rsid w:val="00862BA3"/>
    <w:rsid w:val="00865E79"/>
    <w:rsid w:val="00871BF5"/>
    <w:rsid w:val="00882652"/>
    <w:rsid w:val="00884640"/>
    <w:rsid w:val="008A342E"/>
    <w:rsid w:val="008A3C28"/>
    <w:rsid w:val="008A6BE8"/>
    <w:rsid w:val="00911BE0"/>
    <w:rsid w:val="00917386"/>
    <w:rsid w:val="0093514E"/>
    <w:rsid w:val="0097702E"/>
    <w:rsid w:val="00991528"/>
    <w:rsid w:val="00993F5E"/>
    <w:rsid w:val="009A5430"/>
    <w:rsid w:val="009B130C"/>
    <w:rsid w:val="009B1C4F"/>
    <w:rsid w:val="009C15C4"/>
    <w:rsid w:val="009F53F9"/>
    <w:rsid w:val="00A05391"/>
    <w:rsid w:val="00A317A9"/>
    <w:rsid w:val="00A41149"/>
    <w:rsid w:val="00A4243E"/>
    <w:rsid w:val="00A56D57"/>
    <w:rsid w:val="00A71D1B"/>
    <w:rsid w:val="00A7680D"/>
    <w:rsid w:val="00A900AD"/>
    <w:rsid w:val="00A931C3"/>
    <w:rsid w:val="00AA6C34"/>
    <w:rsid w:val="00AC2247"/>
    <w:rsid w:val="00AE625E"/>
    <w:rsid w:val="00AE6774"/>
    <w:rsid w:val="00B163F1"/>
    <w:rsid w:val="00B16D95"/>
    <w:rsid w:val="00B20316"/>
    <w:rsid w:val="00B31D35"/>
    <w:rsid w:val="00B34E3C"/>
    <w:rsid w:val="00B4534A"/>
    <w:rsid w:val="00B62027"/>
    <w:rsid w:val="00B62597"/>
    <w:rsid w:val="00B7024C"/>
    <w:rsid w:val="00B72467"/>
    <w:rsid w:val="00B81073"/>
    <w:rsid w:val="00BA6146"/>
    <w:rsid w:val="00BB531B"/>
    <w:rsid w:val="00BB6921"/>
    <w:rsid w:val="00BC0188"/>
    <w:rsid w:val="00BC0CBA"/>
    <w:rsid w:val="00BD5F11"/>
    <w:rsid w:val="00BF331B"/>
    <w:rsid w:val="00C10A93"/>
    <w:rsid w:val="00C156D4"/>
    <w:rsid w:val="00C439EC"/>
    <w:rsid w:val="00C5307B"/>
    <w:rsid w:val="00C54A20"/>
    <w:rsid w:val="00C72168"/>
    <w:rsid w:val="00C72C75"/>
    <w:rsid w:val="00C74A33"/>
    <w:rsid w:val="00C757F4"/>
    <w:rsid w:val="00C75A9D"/>
    <w:rsid w:val="00CA49B9"/>
    <w:rsid w:val="00CA7CBE"/>
    <w:rsid w:val="00CB19DE"/>
    <w:rsid w:val="00CB475B"/>
    <w:rsid w:val="00CC1B47"/>
    <w:rsid w:val="00CE25EA"/>
    <w:rsid w:val="00CE451E"/>
    <w:rsid w:val="00D06EC8"/>
    <w:rsid w:val="00D136EA"/>
    <w:rsid w:val="00D2316E"/>
    <w:rsid w:val="00D251ED"/>
    <w:rsid w:val="00D555B7"/>
    <w:rsid w:val="00D831E4"/>
    <w:rsid w:val="00D95949"/>
    <w:rsid w:val="00DA23DE"/>
    <w:rsid w:val="00DB29E9"/>
    <w:rsid w:val="00DC7694"/>
    <w:rsid w:val="00DD338F"/>
    <w:rsid w:val="00DD73B5"/>
    <w:rsid w:val="00DE34CF"/>
    <w:rsid w:val="00DE6F98"/>
    <w:rsid w:val="00DF1112"/>
    <w:rsid w:val="00E02C4D"/>
    <w:rsid w:val="00E10EC2"/>
    <w:rsid w:val="00E1605D"/>
    <w:rsid w:val="00E21C96"/>
    <w:rsid w:val="00E32B6B"/>
    <w:rsid w:val="00E5387A"/>
    <w:rsid w:val="00E55E84"/>
    <w:rsid w:val="00E62B06"/>
    <w:rsid w:val="00E72376"/>
    <w:rsid w:val="00EA565E"/>
    <w:rsid w:val="00EB68B0"/>
    <w:rsid w:val="00EC5B90"/>
    <w:rsid w:val="00ED3DF0"/>
    <w:rsid w:val="00EE4C3B"/>
    <w:rsid w:val="00F03BE5"/>
    <w:rsid w:val="00F4190F"/>
    <w:rsid w:val="00F439D2"/>
    <w:rsid w:val="00F5077C"/>
    <w:rsid w:val="00F66C8F"/>
    <w:rsid w:val="00F72E28"/>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2F20BE"/>
  <w15:docId w15:val="{911248CD-AA79-4D54-919F-170842D0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7694"/>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1A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f9b3dbf5-4149-4ea6-9ad3-0c452ff9f386"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3AD5F-EE0A-4734-B5CE-2F93CE6D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