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1A1CDC" w:rsidRPr="001A1CDC" w:rsidP="001A1CDC">
      <w:pPr>
        <w:pStyle w:val="MeetingDetails"/>
      </w:pPr>
      <w:r w:rsidRPr="00014C78">
        <w:t xml:space="preserve">Critical Issue Fast Path (CIFP) - Resource Adequacy </w:t>
      </w:r>
      <w:r w:rsidRPr="001A1CDC">
        <w:t>Governing Document Review Workshop</w:t>
      </w:r>
    </w:p>
    <w:p w:rsidR="00B62597" w:rsidRPr="00B62597" w:rsidP="001A1CDC">
      <w:pPr>
        <w:pStyle w:val="MeetingDetails"/>
      </w:pPr>
      <w:r>
        <w:t>PJM Conference and Training Center</w:t>
      </w:r>
    </w:p>
    <w:p w:rsidR="00B62597" w:rsidRPr="00B62597" w:rsidP="00755096">
      <w:pPr>
        <w:pStyle w:val="MeetingDetails"/>
      </w:pPr>
      <w:r>
        <w:t>October 5</w:t>
      </w:r>
      <w:r w:rsidR="002B2F98">
        <w:t xml:space="preserve">, </w:t>
      </w:r>
      <w:r w:rsidR="0097702E">
        <w:t>2023</w:t>
      </w:r>
    </w:p>
    <w:p w:rsidR="00B62597" w:rsidRPr="00B62597" w:rsidP="00755096">
      <w:pPr>
        <w:pStyle w:val="MeetingDetails"/>
        <w:rPr>
          <w:sz w:val="28"/>
          <w:u w:val="single"/>
        </w:rPr>
      </w:pPr>
      <w:r>
        <w:t>2:00 p</w:t>
      </w:r>
      <w:r w:rsidR="002B2F98">
        <w:t xml:space="preserve">.m. – </w:t>
      </w:r>
      <w:r>
        <w:t>5</w:t>
      </w:r>
      <w:r w:rsidR="00010057">
        <w:t xml:space="preserve">:00 </w:t>
      </w:r>
      <w:r>
        <w:t>p</w:t>
      </w:r>
      <w:r w:rsidR="00755096">
        <w:t>.m.</w:t>
      </w:r>
      <w:r w:rsidR="00010057">
        <w:t xml:space="preserve"> EPT</w:t>
      </w:r>
    </w:p>
    <w:p w:rsidR="00B62597" w:rsidRPr="00B62597" w:rsidP="00B62597">
      <w:pPr>
        <w:spacing w:after="0" w:line="240" w:lineRule="auto"/>
        <w:rPr>
          <w:rFonts w:ascii="Arial Narrow" w:eastAsia="Times New Roman" w:hAnsi="Arial Narrow" w:cs="Times New Roman"/>
          <w:sz w:val="24"/>
          <w:szCs w:val="20"/>
        </w:rPr>
      </w:pPr>
    </w:p>
    <w:p w:rsidR="00B62597" w:rsidRPr="00B62597" w:rsidP="007C2954">
      <w:pPr>
        <w:pStyle w:val="PrimaryHeading"/>
        <w:rPr>
          <w:caps/>
        </w:rPr>
      </w:pPr>
      <w:bookmarkStart w:id="0" w:name="OLE_LINK5"/>
      <w:bookmarkStart w:id="1" w:name="OLE_LINK3"/>
      <w:r w:rsidRPr="00527104">
        <w:t>Adm</w:t>
      </w:r>
      <w:r w:rsidRPr="007C2954">
        <w:t>inistrati</w:t>
      </w:r>
      <w:r w:rsidRPr="00527104">
        <w:t>on (</w:t>
      </w:r>
      <w:r w:rsidR="001A1CDC">
        <w:t>2:00-2:05</w:t>
      </w:r>
      <w:r w:rsidRPr="00527104">
        <w:t>)</w:t>
      </w:r>
      <w:bookmarkStart w:id="2" w:name="_GoBack"/>
      <w:bookmarkEnd w:id="2"/>
    </w:p>
    <w:bookmarkEnd w:id="0"/>
    <w:bookmarkEnd w:id="1"/>
    <w:p w:rsidR="002C6057" w:rsidRPr="001A1CDC" w:rsidP="002C6057">
      <w:pPr>
        <w:pStyle w:val="SecondaryHeading-Numbered"/>
        <w:rPr>
          <w:b w:val="0"/>
        </w:rPr>
      </w:pPr>
      <w:r w:rsidRPr="001A1CDC">
        <w:rPr>
          <w:b w:val="0"/>
        </w:rPr>
        <w:t>W</w:t>
      </w:r>
      <w:r w:rsidRPr="001A1CDC">
        <w:rPr>
          <w:b w:val="0"/>
        </w:rPr>
        <w:t xml:space="preserve">elcome, announcements and review of the Anti-trust, Code of Conduct, and Public </w:t>
      </w:r>
      <w:r w:rsidRPr="001A1CDC">
        <w:rPr>
          <w:b w:val="0"/>
        </w:rPr>
        <w:t>M</w:t>
      </w:r>
      <w:r w:rsidRPr="001A1CDC">
        <w:rPr>
          <w:b w:val="0"/>
        </w:rPr>
        <w:t>eetings/Media Participation Guidelines.</w:t>
      </w:r>
      <w:r w:rsidRPr="001A1CDC">
        <w:rPr>
          <w:b w:val="0"/>
        </w:rPr>
        <w:t xml:space="preserve"> </w:t>
      </w:r>
    </w:p>
    <w:p w:rsidR="001D3B68" w:rsidRPr="00DB29E9" w:rsidP="007C2954">
      <w:pPr>
        <w:pStyle w:val="PrimaryHeading"/>
      </w:pPr>
      <w:r>
        <w:t>Governing Document Review</w:t>
      </w:r>
      <w:r>
        <w:t xml:space="preserve"> (</w:t>
      </w:r>
      <w:r w:rsidR="001A1CDC">
        <w:t>2:05-5:00</w:t>
      </w:r>
      <w:r>
        <w:t>)</w:t>
      </w:r>
    </w:p>
    <w:p w:rsidR="001B2242" w:rsidRPr="001A1CDC" w:rsidP="001A1CDC">
      <w:pPr>
        <w:pStyle w:val="SecondaryHeading-Numbered"/>
        <w:tabs>
          <w:tab w:val="clear" w:pos="0"/>
        </w:tabs>
        <w:rPr>
          <w:b w:val="0"/>
        </w:rPr>
      </w:pPr>
      <w:r>
        <w:rPr>
          <w:b w:val="0"/>
        </w:rPr>
        <w:t>PJM staff will provide a s</w:t>
      </w:r>
      <w:r w:rsidRPr="001A1CDC">
        <w:rPr>
          <w:b w:val="0"/>
        </w:rPr>
        <w:t xml:space="preserve">ummary of Governing Document </w:t>
      </w:r>
      <w:r w:rsidRPr="001A1CDC">
        <w:rPr>
          <w:b w:val="0"/>
        </w:rPr>
        <w:t xml:space="preserve">revisions </w:t>
      </w:r>
      <w:r>
        <w:rPr>
          <w:b w:val="0"/>
        </w:rPr>
        <w:t xml:space="preserve">addressing </w:t>
      </w:r>
      <w:r w:rsidRPr="001A1CDC">
        <w:rPr>
          <w:b w:val="0"/>
        </w:rPr>
        <w:t xml:space="preserve">the various areas of capacity reform included in the </w:t>
      </w:r>
      <w:r>
        <w:rPr>
          <w:b w:val="0"/>
        </w:rPr>
        <w:t xml:space="preserve">Critical Issue Fast Path (CIFP) </w:t>
      </w:r>
      <w:r w:rsidR="00014C78">
        <w:rPr>
          <w:b w:val="0"/>
        </w:rPr>
        <w:t xml:space="preserve">- </w:t>
      </w:r>
      <w:r>
        <w:rPr>
          <w:b w:val="0"/>
        </w:rPr>
        <w:t xml:space="preserve">Resource Adequacy </w:t>
      </w:r>
      <w:r w:rsidRPr="001A1CDC">
        <w:rPr>
          <w:b w:val="0"/>
        </w:rPr>
        <w:t xml:space="preserve">proposal </w:t>
      </w:r>
      <w:r>
        <w:rPr>
          <w:b w:val="0"/>
        </w:rPr>
        <w:t xml:space="preserve">and </w:t>
      </w:r>
      <w:r w:rsidR="00014C78">
        <w:rPr>
          <w:b w:val="0"/>
        </w:rPr>
        <w:t xml:space="preserve">will review </w:t>
      </w:r>
      <w:r>
        <w:rPr>
          <w:b w:val="0"/>
        </w:rPr>
        <w:t xml:space="preserve">corresponding Tariff and Reliability Assurance Agreement (RAA) redlines. </w:t>
      </w:r>
    </w:p>
    <w:tbl>
      <w:tblPr>
        <w:tblStyle w:val="GridTable2Accent5"/>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tblPr>
      <w:tblGrid>
        <w:gridCol w:w="9360"/>
      </w:tblGrid>
      <w:tr w:rsidTr="00DF1112">
        <w:tblPrEx>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tblPrEx>
        <w:trPr>
          <w:trHeight w:val="331"/>
        </w:trPr>
        <w:tc>
          <w:tcPr>
            <w:tcW w:w="9360" w:type="dxa"/>
            <w:shd w:val="clear" w:color="auto" w:fill="00B0F0" w:themeFill="accent3"/>
          </w:tcPr>
          <w:p w:rsidR="003C3320" w:rsidRPr="0095194C" w:rsidP="00DF1112">
            <w:pPr>
              <w:pStyle w:val="PrimaryHeading"/>
              <w:spacing w:after="0"/>
              <w:rPr>
                <w:b/>
              </w:rPr>
            </w:pPr>
            <w:r>
              <w:rPr>
                <w:b/>
              </w:rPr>
              <w:t>Future Agenda Items (5</w:t>
            </w:r>
            <w:r w:rsidRPr="0095194C">
              <w:rPr>
                <w:b/>
              </w:rPr>
              <w:t>:00)</w:t>
            </w:r>
          </w:p>
        </w:tc>
      </w:tr>
      <w:tr w:rsidTr="009D7613">
        <w:tblPrEx>
          <w:tblW w:w="0" w:type="auto"/>
          <w:tblLayout w:type="fixed"/>
          <w:tblCellMar>
            <w:top w:w="43" w:type="dxa"/>
            <w:left w:w="115" w:type="dxa"/>
            <w:right w:w="115" w:type="dxa"/>
          </w:tblCellMar>
          <w:tblLook w:val="04A0"/>
        </w:tblPrEx>
        <w:trPr>
          <w:trHeight w:val="296"/>
        </w:trPr>
        <w:tc>
          <w:tcPr>
            <w:tcW w:w="9360" w:type="dxa"/>
            <w:tcBorders>
              <w:bottom w:val="single" w:sz="4" w:space="0" w:color="93E2FE" w:themeColor="accent3" w:themeTint="66"/>
            </w:tcBorders>
            <w:shd w:val="clear" w:color="auto" w:fill="auto"/>
          </w:tcPr>
          <w:p w:rsidR="003C3320" w:rsidRPr="001A1CDC" w:rsidP="009D7613">
            <w:pPr>
              <w:pStyle w:val="AttendeesList"/>
              <w:rPr>
                <w:b w:val="0"/>
                <w:sz w:val="24"/>
                <w:szCs w:val="24"/>
              </w:rPr>
            </w:pPr>
            <w:r w:rsidRPr="001A1CDC">
              <w:rPr>
                <w:b w:val="0"/>
                <w:sz w:val="24"/>
                <w:szCs w:val="24"/>
              </w:rPr>
              <w:t xml:space="preserve">None </w:t>
            </w:r>
          </w:p>
        </w:tc>
      </w:tr>
    </w:tbl>
    <w:p w:rsidR="003C3320" w:rsidP="003C3320">
      <w:pPr>
        <w:pStyle w:val="DisclaimerBodyCopy"/>
        <w:rPr>
          <w:sz w:val="24"/>
        </w:rPr>
      </w:pPr>
    </w:p>
    <w:p w:rsidR="00B62597" w:rsidP="00337321">
      <w:pPr>
        <w:pStyle w:val="Author"/>
      </w:pPr>
      <w:r>
        <w:t xml:space="preserve">Author: </w:t>
      </w:r>
      <w:r w:rsidR="001A1CDC">
        <w:t xml:space="preserve">M. Greening </w:t>
      </w:r>
    </w:p>
    <w:p w:rsidR="00B62597" w:rsidRPr="00B62597" w:rsidP="00FA5955">
      <w:pPr>
        <w:pStyle w:val="DisclaimerHeading"/>
        <w:spacing w:before="240"/>
      </w:pPr>
      <w:r>
        <w:t>Anti</w:t>
      </w:r>
      <w:r w:rsidRPr="00B62597">
        <w:t>trust:</w:t>
      </w:r>
    </w:p>
    <w:p w:rsidR="00B62597" w:rsidRPr="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B62597" w:rsidRPr="00B62597" w:rsidP="00FA5955">
      <w:pPr>
        <w:pStyle w:val="DisclaimerHeading"/>
        <w:spacing w:before="240"/>
      </w:pPr>
      <w:r w:rsidRPr="00B62597">
        <w:t>Code of Conduct:</w:t>
      </w:r>
    </w:p>
    <w:p w:rsidR="00B62597" w:rsidRPr="00B62597" w:rsidP="00337321">
      <w:pPr>
        <w:pStyle w:val="DisclosureBody"/>
      </w:pPr>
      <w:r w:rsidRPr="00B62597">
        <w:t>As a mandatory condition of attendance at today's meeting, attendees agree to adhere to the Code of Conduct as detailed in PJM Manual M-34 section 4.5, including, but not limited to, participants' responsibilities and rules regarding the dissemination of meeting discussion and materials.</w:t>
      </w:r>
      <w:r w:rsidRPr="00FA5955" w:rsidR="00FA5955">
        <w:t xml:space="preserve"> Expectations for participating in PJM activities are further detailed in the </w:t>
      </w:r>
      <w:hyperlink r:id="rId4" w:history="1">
        <w:r w:rsidRPr="00FA5955" w:rsidR="00FA5955">
          <w:rPr>
            <w:rStyle w:val="Hyperlink"/>
          </w:rPr>
          <w:t>PJM Code of Conduct</w:t>
        </w:r>
      </w:hyperlink>
      <w:r w:rsidRPr="00FA5955" w:rsidR="00FA5955">
        <w:t>.</w:t>
      </w:r>
    </w:p>
    <w:p w:rsidR="00B62597" w:rsidRPr="00B62597" w:rsidP="00FA5955">
      <w:pPr>
        <w:pStyle w:val="DisclaimerHeading"/>
        <w:spacing w:before="240"/>
      </w:pPr>
      <w:r w:rsidRPr="00B62597">
        <w:t xml:space="preserve">Public Meetings/Media Participation: </w:t>
      </w:r>
    </w:p>
    <w:p w:rsidR="00DE34CF"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pPr>
        <w:pStyle w:val="DisclaimerHeading"/>
        <w:spacing w:before="240"/>
      </w:pPr>
      <w:r>
        <w:t xml:space="preserve">Participant Identification in </w:t>
      </w:r>
      <w:r w:rsidR="00711249">
        <w:t>Webex</w:t>
      </w:r>
      <w:r>
        <w:t>:</w:t>
      </w:r>
    </w:p>
    <w:p w:rsidR="00027F49" w:rsidP="00027F49">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rsidR="00027F49" w:rsidP="00027F49">
      <w:pPr>
        <w:pStyle w:val="DisclaimerBodyCopy"/>
      </w:pPr>
      <w:r>
        <w:t xml:space="preserve">PJM support staff continuously monitors </w:t>
      </w:r>
      <w:r w:rsidR="00711249">
        <w:t>Webex</w:t>
      </w:r>
      <w:r>
        <w:t xml:space="preserve"> connections during stakeholder meetings. Anonymous users or those using false usernames or emails will be dropped from the teleconference.</w:t>
      </w:r>
    </w:p>
    <w:p w:rsidR="00D2316E" w:rsidRPr="00FA5955" w:rsidP="00FA5955">
      <w:pPr>
        <w:pStyle w:val="DisclaimerHeading"/>
        <w:spacing w:before="240"/>
      </w:pPr>
      <w:r w:rsidRPr="00FA5955">
        <w:rPr>
          <w:bCs/>
        </w:rPr>
        <w:t xml:space="preserve">Participant Use of </w:t>
      </w:r>
      <w:r w:rsidRPr="00FA5955">
        <w:rPr>
          <w:bCs/>
        </w:rPr>
        <w:t>Webex</w:t>
      </w:r>
      <w:r w:rsidRPr="00FA5955">
        <w:rPr>
          <w:bCs/>
        </w:rPr>
        <w:t xml:space="preserve"> Chat:</w:t>
      </w:r>
    </w:p>
    <w:p w:rsidR="00D2316E" w:rsidP="00D2316E">
      <w:pPr>
        <w:pStyle w:val="DisclaimerBodyCopy"/>
      </w:pPr>
      <w:r>
        <w:t xml:space="preserve">The use of the </w:t>
      </w:r>
      <w:r>
        <w:t>Webex</w:t>
      </w:r>
      <w:r>
        <w:t xml:space="preserve"> chat feature during meetings shall be primarily reserved for administrative and logistical purposes, such as managing a question or comment queue, noting technical difficulties, and meeting </w:t>
      </w:r>
      <w:r w:rsidR="00FA61ED">
        <w:t>support or management purposes.</w:t>
      </w:r>
      <w:r>
        <w:t xml:space="preserve"> Utilizing </w:t>
      </w:r>
      <w:r>
        <w:t>Webex</w:t>
      </w:r>
      <w:r>
        <w:t xml:space="preserve"> chat for any other commentary should be limited to short phrases.  Detailed commentary or substantive dialog shall be shared orally by entering the speaker queue.  </w:t>
      </w:r>
    </w:p>
    <w:p w:rsidR="00D2316E" w:rsidP="00027F49">
      <w:pPr>
        <w:pStyle w:val="DisclaimerBodyCopy"/>
      </w:pPr>
    </w:p>
    <w:p w:rsidR="00027F49" w:rsidP="00027F49">
      <w:pPr>
        <w:pStyle w:val="DisclosureBody"/>
      </w:pPr>
    </w:p>
    <w:p w:rsidR="00027F49" w:rsidP="00027F4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5"/>
                    <a:stretch>
                      <a:fillRect/>
                    </a:stretch>
                  </pic:blipFill>
                  <pic:spPr>
                    <a:xfrm>
                      <a:off x="0" y="0"/>
                      <a:ext cx="5943600" cy="983615"/>
                    </a:xfrm>
                    <a:prstGeom prst="rect">
                      <a:avLst/>
                    </a:prstGeom>
                  </pic:spPr>
                </pic:pic>
              </a:graphicData>
            </a:graphic>
          </wp:inline>
        </w:drawing>
      </w:r>
    </w:p>
    <w:p w:rsidR="00027F49" w:rsidP="00027F49">
      <w:pPr>
        <w:pStyle w:val="DisclaimerHeading"/>
      </w:pPr>
    </w:p>
    <w:p w:rsidR="00027F49" w:rsidRPr="009C15C4" w:rsidP="00027F49">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6"/>
                    <a:stretch>
                      <a:fillRect/>
                    </a:stretch>
                  </pic:blipFill>
                  <pic:spPr>
                    <a:xfrm>
                      <a:off x="0" y="0"/>
                      <a:ext cx="5943600" cy="1217930"/>
                    </a:xfrm>
                    <a:prstGeom prst="rect">
                      <a:avLst/>
                    </a:prstGeom>
                  </pic:spPr>
                </pic:pic>
              </a:graphicData>
            </a:graphic>
          </wp:inline>
        </w:drawing>
      </w:r>
    </w:p>
    <w:p w:rsidR="0057441E" w:rsidRPr="009C15C4" w:rsidP="009C15C4">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7"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8"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7"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8"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9"/>
      <w:footerReference w:type="even" r:id="rId10"/>
      <w:footerReference w:type="default" r:id="rId11"/>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014C78">
      <w:rPr>
        <w:rStyle w:val="PageNumber"/>
        <w:noProof/>
      </w:rPr>
      <w:t>1</w:t>
    </w:r>
    <w:r>
      <w:rPr>
        <w:rStyle w:val="PageNumber"/>
      </w:rPr>
      <w:fldChar w:fldCharType="end"/>
    </w:r>
  </w:p>
  <w:p w:rsidR="00B62597" w:rsidRPr="001678E8">
    <w:pPr>
      <w:pStyle w:val="Footer"/>
      <w:rPr>
        <w:rFonts w:ascii="Arial Narrow" w:hAnsi="Arial Narrow"/>
        <w:sz w:val="20"/>
      </w:rPr>
    </w:pPr>
    <w:bookmarkStart w:id="3" w:name="OLE_LINK1"/>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777623">
      <w:rPr>
        <w:rFonts w:ascii="Arial Narrow" w:hAnsi="Arial Narrow"/>
        <w:sz w:val="20"/>
      </w:rPr>
      <w:t>3</w:t>
    </w:r>
    <w:r w:rsidR="00991528">
      <w:rPr>
        <w:rFonts w:ascii="Arial Narrow" w:hAnsi="Arial Narrow"/>
        <w:sz w:val="20"/>
      </w:rPr>
      <w:tab/>
    </w:r>
    <w:r w:rsidR="000232DF">
      <w:rPr>
        <w:rFonts w:ascii="Arial Narrow" w:hAnsi="Arial Narrow"/>
        <w:sz w:val="20"/>
      </w:rPr>
      <w:t xml:space="preserve">For Public Use </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RPr="00711249" w:rsidP="00711249">
    <w:pPr>
      <w:pStyle w:val="PostingDate"/>
      <w:rPr>
        <w:sz w:val="16"/>
      </w:rPr>
    </w:pPr>
    <w:r w:rsidRPr="00711249">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Pr="00711249" w:rsidR="00F4190F">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56D57">
      <w:t xml:space="preserve">As of </w:t>
    </w:r>
    <w:r w:rsidR="001A1CDC">
      <w:t>October 3,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1E86087"/>
    <w:multiLevelType w:val="hybridMultilevel"/>
    <w:tmpl w:val="2C9CB742"/>
    <w:lvl w:ilvl="0">
      <w:start w:val="1"/>
      <w:numFmt w:val="decimal"/>
      <w:pStyle w:val="ListSubhead1"/>
      <w:lvlText w:val="%1."/>
      <w:lvlJc w:val="left"/>
      <w:pPr>
        <w:ind w:left="360" w:hanging="360"/>
      </w:pPr>
      <w:rPr>
        <w:b w:val="0"/>
      </w:rPr>
    </w:lvl>
    <w:lvl w:ilvl="1">
      <w:start w:val="1"/>
      <w:numFmt w:val="lowerLetter"/>
      <w:lvlText w:val="%2."/>
      <w:lvlJc w:val="left"/>
      <w:pPr>
        <w:ind w:left="-8928" w:hanging="72"/>
      </w:pPr>
      <w:rPr>
        <w:rFonts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2"/>
  </w:num>
  <w:num w:numId="10">
    <w:abstractNumId w:val="0"/>
  </w:num>
  <w:num w:numId="11">
    <w:abstractNumId w:val="3"/>
  </w:num>
  <w:num w:numId="12">
    <w:abstractNumId w:val="1"/>
  </w:num>
  <w:num w:numId="13">
    <w:abstractNumId w:val="3"/>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CDC"/>
    <w:rsid w:val="00010057"/>
    <w:rsid w:val="00014C78"/>
    <w:rsid w:val="000232DF"/>
    <w:rsid w:val="00027F49"/>
    <w:rsid w:val="000333FF"/>
    <w:rsid w:val="0006798D"/>
    <w:rsid w:val="00092135"/>
    <w:rsid w:val="00117AF9"/>
    <w:rsid w:val="00121F58"/>
    <w:rsid w:val="001678E8"/>
    <w:rsid w:val="00170E02"/>
    <w:rsid w:val="001A1CDC"/>
    <w:rsid w:val="001B2242"/>
    <w:rsid w:val="001C0CC0"/>
    <w:rsid w:val="001D3B68"/>
    <w:rsid w:val="002113BD"/>
    <w:rsid w:val="0025139E"/>
    <w:rsid w:val="002B2F98"/>
    <w:rsid w:val="002C6057"/>
    <w:rsid w:val="002D2017"/>
    <w:rsid w:val="00305238"/>
    <w:rsid w:val="003251CE"/>
    <w:rsid w:val="00337321"/>
    <w:rsid w:val="00394850"/>
    <w:rsid w:val="003B55E1"/>
    <w:rsid w:val="003C17E2"/>
    <w:rsid w:val="003C3320"/>
    <w:rsid w:val="003D7E5C"/>
    <w:rsid w:val="003E7A73"/>
    <w:rsid w:val="0046043F"/>
    <w:rsid w:val="00491490"/>
    <w:rsid w:val="00494494"/>
    <w:rsid w:val="004969FA"/>
    <w:rsid w:val="00527104"/>
    <w:rsid w:val="00564DEE"/>
    <w:rsid w:val="0057441E"/>
    <w:rsid w:val="0059108D"/>
    <w:rsid w:val="005A5D0D"/>
    <w:rsid w:val="005D33BE"/>
    <w:rsid w:val="005D6D05"/>
    <w:rsid w:val="006024A0"/>
    <w:rsid w:val="00602967"/>
    <w:rsid w:val="00606F11"/>
    <w:rsid w:val="006C738F"/>
    <w:rsid w:val="006F7A52"/>
    <w:rsid w:val="00711249"/>
    <w:rsid w:val="00712CAA"/>
    <w:rsid w:val="00716A8B"/>
    <w:rsid w:val="00730F76"/>
    <w:rsid w:val="00744A45"/>
    <w:rsid w:val="0075340F"/>
    <w:rsid w:val="00754C6D"/>
    <w:rsid w:val="00755096"/>
    <w:rsid w:val="007703B4"/>
    <w:rsid w:val="00777623"/>
    <w:rsid w:val="007A34A3"/>
    <w:rsid w:val="007C2954"/>
    <w:rsid w:val="007D4F70"/>
    <w:rsid w:val="007E7CAB"/>
    <w:rsid w:val="00837B12"/>
    <w:rsid w:val="00841282"/>
    <w:rsid w:val="008552A3"/>
    <w:rsid w:val="00882652"/>
    <w:rsid w:val="00917386"/>
    <w:rsid w:val="0095194C"/>
    <w:rsid w:val="0097702E"/>
    <w:rsid w:val="00991528"/>
    <w:rsid w:val="009A5430"/>
    <w:rsid w:val="009C15C4"/>
    <w:rsid w:val="009D7613"/>
    <w:rsid w:val="009F53F9"/>
    <w:rsid w:val="00A05391"/>
    <w:rsid w:val="00A317A9"/>
    <w:rsid w:val="00A41149"/>
    <w:rsid w:val="00A56D57"/>
    <w:rsid w:val="00A931C3"/>
    <w:rsid w:val="00AA6C34"/>
    <w:rsid w:val="00AC2247"/>
    <w:rsid w:val="00B16D95"/>
    <w:rsid w:val="00B20316"/>
    <w:rsid w:val="00B34E3C"/>
    <w:rsid w:val="00B62597"/>
    <w:rsid w:val="00BA6146"/>
    <w:rsid w:val="00BB531B"/>
    <w:rsid w:val="00BF331B"/>
    <w:rsid w:val="00C439EC"/>
    <w:rsid w:val="00C5307B"/>
    <w:rsid w:val="00C72168"/>
    <w:rsid w:val="00C757F4"/>
    <w:rsid w:val="00C75A9D"/>
    <w:rsid w:val="00CA49B9"/>
    <w:rsid w:val="00CB19DE"/>
    <w:rsid w:val="00CB475B"/>
    <w:rsid w:val="00CC1B47"/>
    <w:rsid w:val="00D06EC8"/>
    <w:rsid w:val="00D136EA"/>
    <w:rsid w:val="00D2316E"/>
    <w:rsid w:val="00D251ED"/>
    <w:rsid w:val="00D831E4"/>
    <w:rsid w:val="00D95949"/>
    <w:rsid w:val="00DB29E9"/>
    <w:rsid w:val="00DE34CF"/>
    <w:rsid w:val="00DF1112"/>
    <w:rsid w:val="00E1605D"/>
    <w:rsid w:val="00E32B6B"/>
    <w:rsid w:val="00E5387A"/>
    <w:rsid w:val="00E55E84"/>
    <w:rsid w:val="00EB68B0"/>
    <w:rsid w:val="00F4190F"/>
    <w:rsid w:val="00F5077C"/>
    <w:rsid w:val="00F621B0"/>
    <w:rsid w:val="00FA5955"/>
    <w:rsid w:val="00FA61ED"/>
    <w:rsid w:val="00FB1739"/>
    <w:rsid w:val="00FC2B9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5B2B88C9"/>
  <w15:docId w15:val="{F998683A-09A2-4FFA-A9F8-906C93B8B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paragraph" w:styleId="Heading2">
    <w:name w:val="heading 2"/>
    <w:basedOn w:val="Normal"/>
    <w:next w:val="Normal"/>
    <w:link w:val="Heading2Char"/>
    <w:uiPriority w:val="9"/>
    <w:unhideWhenUsed/>
    <w:qFormat/>
    <w:rsid w:val="001A1CDC"/>
    <w:pPr>
      <w:keepNext/>
      <w:keepLines/>
      <w:spacing w:before="40" w:after="0" w:line="259" w:lineRule="auto"/>
      <w:outlineLvl w:val="1"/>
    </w:pPr>
    <w:rPr>
      <w:rFonts w:asciiTheme="majorHAnsi" w:eastAsiaTheme="majorEastAsia" w:hAnsiTheme="majorHAnsi" w:cstheme="majorBidi"/>
      <w:color w:val="00264C" w:themeColor="accent1" w:themeShade="BF"/>
      <w:sz w:val="26"/>
      <w:szCs w:val="26"/>
    </w:rPr>
  </w:style>
  <w:style w:type="paragraph" w:styleId="Heading5">
    <w:name w:val="heading 5"/>
    <w:basedOn w:val="Normal"/>
    <w:link w:val="Heading5Char"/>
    <w:uiPriority w:val="9"/>
    <w:qFormat/>
    <w:rsid w:val="001A1CDC"/>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 w:type="paragraph" w:styleId="NormalWeb">
    <w:name w:val="Normal (Web)"/>
    <w:basedOn w:val="Normal"/>
    <w:uiPriority w:val="99"/>
    <w:semiHidden/>
    <w:unhideWhenUsed/>
    <w:rsid w:val="00D231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rsid w:val="001A1CDC"/>
    <w:rPr>
      <w:rFonts w:ascii="Times New Roman" w:eastAsia="Times New Roman" w:hAnsi="Times New Roman" w:cs="Times New Roman"/>
      <w:b/>
      <w:bCs/>
      <w:sz w:val="20"/>
      <w:szCs w:val="20"/>
    </w:rPr>
  </w:style>
  <w:style w:type="character" w:customStyle="1" w:styleId="Heading2Char">
    <w:name w:val="Heading 2 Char"/>
    <w:basedOn w:val="DefaultParagraphFont"/>
    <w:link w:val="Heading2"/>
    <w:uiPriority w:val="9"/>
    <w:rsid w:val="001A1CDC"/>
    <w:rPr>
      <w:rFonts w:asciiTheme="majorHAnsi" w:eastAsiaTheme="majorEastAsia" w:hAnsiTheme="majorHAnsi" w:cstheme="majorBidi"/>
      <w:color w:val="00264C"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www.pjm.com/about-pjm/who-we-are/code-of-conduct" TargetMode="External" /><Relationship Id="rId5" Type="http://schemas.openxmlformats.org/officeDocument/2006/relationships/image" Target="media/image1.png" /><Relationship Id="rId6" Type="http://schemas.openxmlformats.org/officeDocument/2006/relationships/image" Target="media/image2.png" /><Relationship Id="rId7" Type="http://schemas.openxmlformats.org/officeDocument/2006/relationships/hyperlink" Target="https://www.pjm.com/committees-and-groups/committees/form-facilitator-feedback.aspx" TargetMode="External" /><Relationship Id="rId8" Type="http://schemas.openxmlformats.org/officeDocument/2006/relationships/hyperlink" Target="https://learn.pjm.com/" TargetMode="External" /><Relationship Id="rId9" Type="http://schemas.openxmlformats.org/officeDocument/2006/relationships/header" Target="header1.xml" /></Relationships>
</file>

<file path=word/_rels/header1.xml.rels><?xml version="1.0" encoding="utf-8" standalone="yes"?><Relationships xmlns="http://schemas.openxmlformats.org/package/2006/relationships"><Relationship Id="rId1" Type="http://schemas.openxmlformats.org/officeDocument/2006/relationships/image" Target="media/image3.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greenm3\Downloads\Agenda%20(Non%20Operator%20Assisted%20Call)%20(3).dotx" TargetMode="External" /></Relationships>
</file>

<file path=word/theme/theme1.xml><?xml version="1.0" encoding="utf-8"?>
<a:theme xmlns:a="http://schemas.openxmlformats.org/drawingml/2006/main" name="Office Theme">
  <a:themeElements>
    <a:clrScheme name="PJM_Color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E70588"/>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