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 xml:space="preserve">Markets &amp; Reliability Committee </w:t>
      </w:r>
    </w:p>
    <w:p w:rsidR="00B62597" w:rsidRPr="00B62597" w:rsidP="00755096">
      <w:pPr>
        <w:pStyle w:val="MeetingDetails"/>
      </w:pPr>
      <w:r>
        <w:t xml:space="preserve">Webex Only </w:t>
      </w:r>
    </w:p>
    <w:p w:rsidR="00B62597" w:rsidRPr="00B62597" w:rsidP="00755096">
      <w:pPr>
        <w:pStyle w:val="MeetingDetails"/>
      </w:pPr>
      <w:r>
        <w:t>July 28</w:t>
      </w:r>
      <w:r w:rsidR="00EA1452">
        <w:t xml:space="preserve">, </w:t>
      </w:r>
      <w:r w:rsidR="000D654E">
        <w:t>202</w:t>
      </w:r>
      <w:r w:rsidR="009E2C15">
        <w:t>1</w:t>
      </w:r>
    </w:p>
    <w:p w:rsidR="00B62597" w:rsidP="00755096">
      <w:pPr>
        <w:pStyle w:val="MeetingDetails"/>
      </w:pPr>
      <w:r>
        <w:t>9:00 a.m</w:t>
      </w:r>
      <w:r w:rsidR="00755096">
        <w:t>.</w:t>
      </w:r>
      <w:r>
        <w:t xml:space="preserve"> –</w:t>
      </w:r>
      <w:r w:rsidR="00A3460D">
        <w:t xml:space="preserve"> </w:t>
      </w:r>
      <w:r w:rsidR="00EF6EE8">
        <w:t>10:55</w:t>
      </w:r>
      <w:r w:rsidR="00EB5AE7">
        <w:t xml:space="preserve"> a</w:t>
      </w:r>
      <w:r w:rsidRPr="006E57BF" w:rsidR="007B3881">
        <w:t>.m.</w:t>
      </w:r>
      <w:r w:rsidRPr="006E57BF">
        <w:t xml:space="preserve"> </w:t>
      </w:r>
      <w:r w:rsidRPr="006E57BF" w:rsidR="0088561C">
        <w:t>EPT</w:t>
      </w:r>
    </w:p>
    <w:p w:rsidR="008E1149" w:rsidRPr="003D5D3D"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pPr>
        <w:pStyle w:val="PrimaryHeading"/>
        <w:rPr>
          <w:caps/>
        </w:rPr>
      </w:pPr>
      <w:bookmarkStart w:id="1" w:name="OLE_LINK5"/>
      <w:bookmarkStart w:id="2" w:name="OLE_LINK3"/>
      <w:r>
        <w:t>Administration (</w:t>
      </w:r>
      <w:r w:rsidR="008E1149">
        <w:t>9</w:t>
      </w:r>
      <w:r>
        <w:t>:</w:t>
      </w:r>
      <w:r w:rsidR="008E1149">
        <w:t>00-9</w:t>
      </w:r>
      <w:r w:rsidRPr="009F52D5">
        <w:t>:0</w:t>
      </w:r>
      <w:r w:rsidR="008E1149">
        <w:t>5</w:t>
      </w:r>
      <w:r w:rsidRPr="00B62597">
        <w:t>)</w:t>
      </w:r>
    </w:p>
    <w:bookmarkEnd w:id="1"/>
    <w:bookmarkEnd w:id="2"/>
    <w:p w:rsidR="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rsidR="008E1149" w:rsidRPr="00DB29E9" w:rsidP="008E1149">
      <w:pPr>
        <w:pStyle w:val="PrimaryHeading"/>
        <w:spacing w:before="120" w:after="200"/>
      </w:pPr>
      <w:r>
        <w:t>Consent Agenda (9:05-9:10)</w:t>
      </w:r>
    </w:p>
    <w:p w:rsidR="008E1149" w:rsidRPr="00E01E4B" w:rsidP="00EA1452">
      <w:pPr>
        <w:pStyle w:val="SecondaryHeading-Numbered"/>
        <w:numPr>
          <w:ilvl w:val="0"/>
          <w:numId w:val="26"/>
        </w:numPr>
        <w:spacing w:before="120"/>
        <w:rPr>
          <w:b/>
          <w:szCs w:val="24"/>
          <w:u w:val="single"/>
        </w:rPr>
      </w:pPr>
      <w:r w:rsidRPr="00A05D00">
        <w:rPr>
          <w:b/>
          <w:szCs w:val="24"/>
          <w:u w:val="single"/>
        </w:rPr>
        <w:t>Approve</w:t>
      </w:r>
      <w:r w:rsidRPr="00E01E4B">
        <w:rPr>
          <w:szCs w:val="24"/>
        </w:rPr>
        <w:t xml:space="preserve"> minutes of the </w:t>
      </w:r>
      <w:r w:rsidRPr="00E01E4B" w:rsidR="00C8675C">
        <w:rPr>
          <w:szCs w:val="24"/>
        </w:rPr>
        <w:t>June 23</w:t>
      </w:r>
      <w:r w:rsidRPr="00E01E4B">
        <w:rPr>
          <w:szCs w:val="24"/>
        </w:rPr>
        <w:t>, 2021 meeting of the Markets and Reliability Committee (MRC).</w:t>
      </w:r>
    </w:p>
    <w:p w:rsidR="00E01E4B" w:rsidRPr="00E01E4B" w:rsidP="00E01E4B">
      <w:pPr>
        <w:pStyle w:val="SecondaryHeading-Numbered"/>
        <w:numPr>
          <w:ilvl w:val="0"/>
          <w:numId w:val="26"/>
        </w:numPr>
        <w:spacing w:before="120"/>
        <w:rPr>
          <w:szCs w:val="24"/>
        </w:rPr>
      </w:pPr>
      <w:r w:rsidRPr="00E01E4B">
        <w:rPr>
          <w:b/>
          <w:szCs w:val="24"/>
          <w:u w:val="single"/>
        </w:rPr>
        <w:t>Endorse</w:t>
      </w:r>
      <w:r w:rsidRPr="00E01E4B">
        <w:rPr>
          <w:szCs w:val="24"/>
        </w:rPr>
        <w:t xml:space="preserve"> proposed revisions to Manual 13:  Emergency Operations to address Conservative Operations and updates to the OE-417 form.  </w:t>
      </w:r>
    </w:p>
    <w:p w:rsidR="00E01E4B" w:rsidP="00E01E4B">
      <w:pPr>
        <w:pStyle w:val="SecondaryHeading-Numbered"/>
        <w:numPr>
          <w:ilvl w:val="0"/>
          <w:numId w:val="26"/>
        </w:numPr>
        <w:spacing w:before="120" w:after="0"/>
        <w:rPr>
          <w:szCs w:val="24"/>
        </w:rPr>
      </w:pPr>
      <w:r w:rsidRPr="00E01E4B">
        <w:rPr>
          <w:b/>
          <w:szCs w:val="24"/>
          <w:u w:val="single"/>
        </w:rPr>
        <w:t>Endorse</w:t>
      </w:r>
      <w:r w:rsidRPr="00E01E4B">
        <w:rPr>
          <w:szCs w:val="24"/>
        </w:rPr>
        <w:t xml:space="preserve"> conforming revisions to Manual 14A:  New Service Request Process to address the new service requests deficiency review requirements. </w:t>
      </w:r>
    </w:p>
    <w:p w:rsidR="00E01E4B" w:rsidRPr="00E01E4B" w:rsidP="00E01E4B">
      <w:pPr>
        <w:pStyle w:val="SecondaryHeading-Numbered"/>
        <w:numPr>
          <w:ilvl w:val="0"/>
          <w:numId w:val="0"/>
        </w:numPr>
        <w:ind w:left="720"/>
        <w:rPr>
          <w:u w:val="single"/>
        </w:rPr>
      </w:pPr>
      <w:hyperlink r:id="rId5" w:history="1">
        <w:r w:rsidRPr="004C1252">
          <w:rPr>
            <w:rStyle w:val="Hyperlink"/>
          </w:rPr>
          <w:t>Issue Tracking: New Service Requests Deficiency Review Requirements</w:t>
        </w:r>
      </w:hyperlink>
      <w:r>
        <w:t xml:space="preserve"> </w:t>
      </w:r>
    </w:p>
    <w:p w:rsidR="00E01E4B" w:rsidRPr="00E01E4B" w:rsidP="00E01E4B">
      <w:pPr>
        <w:pStyle w:val="SecondaryHeading-Numbered"/>
        <w:numPr>
          <w:ilvl w:val="0"/>
          <w:numId w:val="26"/>
        </w:numPr>
        <w:spacing w:before="120" w:after="0"/>
        <w:rPr>
          <w:b/>
          <w:szCs w:val="24"/>
          <w:u w:val="single"/>
        </w:rPr>
      </w:pPr>
      <w:r w:rsidRPr="00E01E4B">
        <w:rPr>
          <w:b/>
          <w:szCs w:val="24"/>
          <w:u w:val="single"/>
        </w:rPr>
        <w:t>Endorse</w:t>
      </w:r>
      <w:r w:rsidRPr="00E01E4B">
        <w:rPr>
          <w:szCs w:val="24"/>
        </w:rPr>
        <w:t xml:space="preserve"> conforming revisions to Manual 18: PJM Capacity Market, Manual 20: PJM Resource Adequacy Analysis, Manual 21: Rules and Procedures for Determination of Generating Capability, and 21A: Determination of Accredited UCAP Using Effective Load Carrying Capability Analysis to address the Effective Load Carrying Capability (ELCC) for limited duration resources and intermittent resources.  </w:t>
      </w:r>
    </w:p>
    <w:p w:rsidR="00E01E4B" w:rsidP="00E01E4B">
      <w:pPr>
        <w:pStyle w:val="SecondaryHeading-Numbered"/>
        <w:numPr>
          <w:ilvl w:val="0"/>
          <w:numId w:val="0"/>
        </w:numPr>
        <w:ind w:left="720"/>
      </w:pPr>
      <w:hyperlink r:id="rId6" w:history="1">
        <w:r w:rsidRPr="00CB51E7">
          <w:rPr>
            <w:rStyle w:val="Hyperlink"/>
          </w:rPr>
          <w:t>Issue Tracking:  Effective Load Carrying Capability for Limited Duration Resources and Intermittent Resources</w:t>
        </w:r>
      </w:hyperlink>
      <w:r w:rsidRPr="00CB51E7">
        <w:t xml:space="preserve"> </w:t>
      </w:r>
    </w:p>
    <w:p w:rsidR="00E01E4B" w:rsidRPr="00E01E4B" w:rsidP="00E01E4B">
      <w:pPr>
        <w:pStyle w:val="SecondaryHeading-Numbered"/>
        <w:numPr>
          <w:ilvl w:val="0"/>
          <w:numId w:val="26"/>
        </w:numPr>
        <w:spacing w:before="120" w:after="0"/>
        <w:rPr>
          <w:szCs w:val="24"/>
        </w:rPr>
      </w:pPr>
      <w:r w:rsidRPr="00E01E4B">
        <w:rPr>
          <w:b/>
          <w:szCs w:val="24"/>
          <w:u w:val="single"/>
        </w:rPr>
        <w:t>Endorse</w:t>
      </w:r>
      <w:r w:rsidRPr="00E01E4B">
        <w:rPr>
          <w:szCs w:val="24"/>
        </w:rPr>
        <w:t xml:space="preserve"> proposed changes to Manual 33: Administrative Services for the PJM Interconnection Operating Agreement around the Operating Reserve Demand Curve (ORDC) data in accordance with FERC transparency requirements. </w:t>
      </w:r>
    </w:p>
    <w:p w:rsidR="00E01E4B" w:rsidRPr="00713451" w:rsidP="00713451">
      <w:pPr>
        <w:pStyle w:val="SecondaryHeading-Numbered"/>
        <w:numPr>
          <w:ilvl w:val="0"/>
          <w:numId w:val="26"/>
        </w:numPr>
        <w:spacing w:before="120"/>
        <w:rPr>
          <w:szCs w:val="24"/>
        </w:rPr>
      </w:pPr>
      <w:r w:rsidRPr="00713451">
        <w:rPr>
          <w:b/>
          <w:szCs w:val="24"/>
          <w:u w:val="single"/>
        </w:rPr>
        <w:t>Endorse</w:t>
      </w:r>
      <w:r w:rsidRPr="00713451" w:rsidR="00C8675C">
        <w:rPr>
          <w:szCs w:val="24"/>
        </w:rPr>
        <w:t xml:space="preserve"> proposed revisions </w:t>
      </w:r>
      <w:r w:rsidRPr="00713451" w:rsidR="00EC1CCF">
        <w:rPr>
          <w:szCs w:val="24"/>
        </w:rPr>
        <w:t>from the Governing Document Enhancement &amp; Clarification Subcommittee</w:t>
      </w:r>
      <w:r w:rsidR="00EC1CCF">
        <w:rPr>
          <w:szCs w:val="24"/>
        </w:rPr>
        <w:t xml:space="preserve"> (GDECS) </w:t>
      </w:r>
      <w:r w:rsidRPr="00713451" w:rsidR="00C8675C">
        <w:rPr>
          <w:szCs w:val="24"/>
        </w:rPr>
        <w:t>addressing administrative changes and clarifications</w:t>
      </w:r>
      <w:r w:rsidR="00EC1CCF">
        <w:rPr>
          <w:szCs w:val="24"/>
        </w:rPr>
        <w:t xml:space="preserve"> in </w:t>
      </w:r>
      <w:r w:rsidRPr="00713451" w:rsidR="00EC1CCF">
        <w:rPr>
          <w:szCs w:val="24"/>
        </w:rPr>
        <w:t>the Tariff and Operating Agreement (OA)</w:t>
      </w:r>
      <w:r w:rsidR="00713451">
        <w:rPr>
          <w:szCs w:val="24"/>
        </w:rPr>
        <w:t>.</w:t>
      </w:r>
    </w:p>
    <w:p w:rsidR="001D3B68" w:rsidRPr="00DB29E9" w:rsidP="009F52D5">
      <w:pPr>
        <w:pStyle w:val="PrimaryHeading"/>
      </w:pPr>
      <w:r>
        <w:t>E</w:t>
      </w:r>
      <w:r w:rsidR="00632525">
        <w:t>ndorsements</w:t>
      </w:r>
      <w:r w:rsidR="008E1149">
        <w:t xml:space="preserve"> (9:</w:t>
      </w:r>
      <w:r w:rsidRPr="00B0726B" w:rsidR="008E1149">
        <w:t>10-</w:t>
      </w:r>
      <w:r w:rsidR="0041425E">
        <w:t>10:00</w:t>
      </w:r>
      <w:r w:rsidRPr="00B0726B">
        <w:t>)</w:t>
      </w:r>
    </w:p>
    <w:p w:rsidR="00E31ED6" w:rsidRPr="00E31ED6" w:rsidP="007B6629">
      <w:pPr>
        <w:pStyle w:val="SecondaryHeading-Numbered"/>
        <w:numPr>
          <w:ilvl w:val="0"/>
          <w:numId w:val="38"/>
        </w:numPr>
        <w:rPr>
          <w:u w:val="single"/>
        </w:rPr>
      </w:pPr>
      <w:r w:rsidRPr="00E31ED6">
        <w:rPr>
          <w:u w:val="single"/>
        </w:rPr>
        <w:t>Non-Firm Transmission Service Preemption</w:t>
      </w:r>
      <w:r w:rsidR="0041425E">
        <w:rPr>
          <w:u w:val="single"/>
        </w:rPr>
        <w:t xml:space="preserve"> (9:10-9:35)</w:t>
      </w:r>
      <w:r w:rsidRPr="00E31ED6">
        <w:rPr>
          <w:u w:val="single"/>
        </w:rPr>
        <w:t xml:space="preserve"> </w:t>
      </w:r>
    </w:p>
    <w:p w:rsidR="00E31ED6" w:rsidP="00E31ED6">
      <w:pPr>
        <w:pStyle w:val="SecondaryHeading-Numbered"/>
        <w:numPr>
          <w:ilvl w:val="0"/>
          <w:numId w:val="0"/>
        </w:numPr>
        <w:ind w:left="360"/>
        <w:rPr>
          <w:b/>
        </w:rPr>
      </w:pPr>
      <w:r>
        <w:t xml:space="preserve">Jeff McLaughlin will review proposed revisions to section 14.2 of the Tariff related to preemption of non-firm transmission service. </w:t>
      </w:r>
      <w:r w:rsidRPr="00E31ED6">
        <w:rPr>
          <w:b/>
        </w:rPr>
        <w:t xml:space="preserve">The committee will be asked to endorse the proposed solution upon first read.  Members Committee endorsement will be sought on the same day. </w:t>
      </w:r>
    </w:p>
    <w:p w:rsidR="00932B6C" w:rsidRPr="00FF531D" w:rsidP="007B6629">
      <w:pPr>
        <w:pStyle w:val="SecondaryHeading-Numbered"/>
        <w:numPr>
          <w:ilvl w:val="0"/>
          <w:numId w:val="38"/>
        </w:numPr>
      </w:pPr>
      <w:r w:rsidRPr="00FF531D">
        <w:t xml:space="preserve">[Item removed from agenda] </w:t>
      </w:r>
    </w:p>
    <w:p w:rsidR="001D3B68" w:rsidP="009F52D5">
      <w:pPr>
        <w:pStyle w:val="PrimaryHeading"/>
      </w:pPr>
      <w:r>
        <w:t>First Readings</w:t>
      </w:r>
      <w:r w:rsidRPr="00B62597">
        <w:t xml:space="preserve"> </w:t>
      </w:r>
      <w:r>
        <w:t>(</w:t>
      </w:r>
      <w:r w:rsidR="00EF6EE8">
        <w:t>9:35-10:55</w:t>
      </w:r>
      <w:r w:rsidR="007B3881">
        <w:t>)</w:t>
      </w:r>
    </w:p>
    <w:p w:rsidR="00B56319" w:rsidP="00385BCB">
      <w:pPr>
        <w:pStyle w:val="SecondaryHeading-Numbered"/>
        <w:numPr>
          <w:ilvl w:val="0"/>
          <w:numId w:val="38"/>
        </w:numPr>
        <w:rPr>
          <w:u w:val="single"/>
        </w:rPr>
      </w:pPr>
      <w:r>
        <w:rPr>
          <w:u w:val="single"/>
        </w:rPr>
        <w:t>Uniform Cure Periods (</w:t>
      </w:r>
      <w:r w:rsidR="00EF6EE8">
        <w:rPr>
          <w:u w:val="single"/>
        </w:rPr>
        <w:t>9:35-9:50</w:t>
      </w:r>
      <w:r>
        <w:rPr>
          <w:u w:val="single"/>
        </w:rPr>
        <w:t xml:space="preserve">) </w:t>
      </w:r>
    </w:p>
    <w:p w:rsidR="00B56319" w:rsidP="004D2992">
      <w:pPr>
        <w:pStyle w:val="SecondaryHeading-Numbered"/>
        <w:numPr>
          <w:ilvl w:val="0"/>
          <w:numId w:val="0"/>
        </w:numPr>
        <w:spacing w:before="120" w:after="240"/>
        <w:ind w:left="360"/>
      </w:pPr>
      <w:r>
        <w:t>Steve Pincus</w:t>
      </w:r>
      <w:r w:rsidR="003A7F54">
        <w:t xml:space="preserve"> will review </w:t>
      </w:r>
      <w:r w:rsidR="006B376E">
        <w:t xml:space="preserve">a </w:t>
      </w:r>
      <w:r>
        <w:t>proposed solution to address making cure periods uniform across the Tariff and OA. The commi</w:t>
      </w:r>
      <w:r w:rsidR="006B376E">
        <w:t>ttee will be asked to endorse</w:t>
      </w:r>
      <w:r>
        <w:t xml:space="preserve"> the proposed solution and Tariff and OA revisions at its next meeting.</w:t>
      </w:r>
    </w:p>
    <w:p w:rsidR="004D2992" w:rsidRPr="004D2992" w:rsidP="00385BCB">
      <w:pPr>
        <w:pStyle w:val="SecondaryHeading-Numbered"/>
        <w:numPr>
          <w:ilvl w:val="0"/>
          <w:numId w:val="38"/>
        </w:numPr>
        <w:rPr>
          <w:u w:val="single"/>
        </w:rPr>
      </w:pPr>
      <w:r>
        <w:rPr>
          <w:u w:val="single"/>
        </w:rPr>
        <w:t>Working Credit Limit Definitions (</w:t>
      </w:r>
      <w:r w:rsidR="00EF6EE8">
        <w:rPr>
          <w:u w:val="single"/>
        </w:rPr>
        <w:t>9:50-10:05)</w:t>
      </w:r>
    </w:p>
    <w:p w:rsidR="006B376E" w:rsidRPr="00B56319" w:rsidP="004D2992">
      <w:pPr>
        <w:pStyle w:val="SecondaryHeading-Numbered"/>
        <w:numPr>
          <w:ilvl w:val="0"/>
          <w:numId w:val="0"/>
        </w:numPr>
        <w:spacing w:before="120" w:after="240"/>
        <w:ind w:left="360"/>
      </w:pPr>
      <w:r>
        <w:t>Jessica Troiano will review a proposed solution to address making the definitions of working credit limits uniform across the Tariff. The committee will be asked to endorse the proposed solution and Tariff revisions at its next meeting.</w:t>
      </w:r>
    </w:p>
    <w:p w:rsidR="008E1149" w:rsidP="00385BCB">
      <w:pPr>
        <w:pStyle w:val="SecondaryHeading-Numbered"/>
        <w:numPr>
          <w:ilvl w:val="0"/>
          <w:numId w:val="38"/>
        </w:numPr>
        <w:rPr>
          <w:u w:val="single"/>
        </w:rPr>
      </w:pPr>
      <w:r w:rsidRPr="0043183F">
        <w:rPr>
          <w:u w:val="single"/>
        </w:rPr>
        <w:t>PJM Manuals (</w:t>
      </w:r>
      <w:r w:rsidR="00EF6EE8">
        <w:rPr>
          <w:u w:val="single"/>
        </w:rPr>
        <w:t>10:05-10:55</w:t>
      </w:r>
      <w:r w:rsidRPr="0043183F">
        <w:rPr>
          <w:u w:val="single"/>
        </w:rPr>
        <w:t xml:space="preserve">)  </w:t>
      </w:r>
    </w:p>
    <w:p w:rsidR="00AB7D8B" w:rsidRPr="00AB7D8B" w:rsidP="007B6629">
      <w:pPr>
        <w:pStyle w:val="SecondaryHeading-Numbered"/>
        <w:numPr>
          <w:ilvl w:val="1"/>
          <w:numId w:val="14"/>
        </w:numPr>
        <w:spacing w:before="120"/>
        <w:ind w:left="720"/>
        <w:rPr>
          <w:u w:val="single"/>
        </w:rPr>
      </w:pPr>
      <w:r w:rsidRPr="009C4B7D">
        <w:t>Eliseo Carrasco</w:t>
      </w:r>
      <w:r>
        <w:t xml:space="preserve"> </w:t>
      </w:r>
      <w:r w:rsidRPr="0033512A">
        <w:t xml:space="preserve">will review </w:t>
      </w:r>
      <w:r>
        <w:t xml:space="preserve">proposed revisions to Manual 03A:  Energy Management System (EMS) Model Updates and Quality Assurance (QA) resulting from its periodic cover-to-cover review.  The committee will be asked to endorse the revisions at its next meeting. </w:t>
      </w:r>
    </w:p>
    <w:p w:rsidR="00B34F65" w:rsidRPr="00F43608" w:rsidP="00C15C3E">
      <w:pPr>
        <w:pStyle w:val="SecondaryHeading-Numbered"/>
        <w:numPr>
          <w:ilvl w:val="1"/>
          <w:numId w:val="14"/>
        </w:numPr>
        <w:spacing w:before="120" w:after="240"/>
        <w:ind w:left="720"/>
        <w:rPr>
          <w:u w:val="single"/>
        </w:rPr>
      </w:pPr>
      <w:r>
        <w:t xml:space="preserve">Emmy Messina will review proposed revisions to Manual 6: Financial Transmission Rights resulting from its periodic cover-to-cover review. The committee will be asked to endorse the revisions at its next meeting. </w:t>
      </w:r>
    </w:p>
    <w:p w:rsidR="00F43608" w:rsidRPr="00E31ED6" w:rsidP="00E31ED6">
      <w:pPr>
        <w:pStyle w:val="SecondaryHeading-Numbered"/>
        <w:numPr>
          <w:ilvl w:val="1"/>
          <w:numId w:val="14"/>
        </w:numPr>
        <w:spacing w:before="120" w:after="0"/>
        <w:ind w:left="720"/>
        <w:rPr>
          <w:u w:val="single"/>
        </w:rPr>
      </w:pPr>
      <w:r>
        <w:t>Aaron Baizman will review proposed revisions to Manual 11: Energy &amp; Ancillary Services Market Operations addressing Five Minute Long Term Changes and Transparency. The committee will be asked to endorse the revisions at its next meeting.</w:t>
      </w:r>
    </w:p>
    <w:p w:rsidR="00E31ED6" w:rsidRPr="00BE73BF" w:rsidP="00E31ED6">
      <w:pPr>
        <w:pStyle w:val="SecondaryHeading-Numbered"/>
        <w:numPr>
          <w:ilvl w:val="0"/>
          <w:numId w:val="0"/>
        </w:numPr>
        <w:ind w:left="720"/>
        <w:rPr>
          <w:u w:val="single"/>
        </w:rPr>
      </w:pPr>
      <w:hyperlink r:id="rId7" w:history="1">
        <w:r w:rsidRPr="00AB7D8B">
          <w:rPr>
            <w:rStyle w:val="Hyperlink"/>
          </w:rPr>
          <w:t>Issue Tracking:  Five Minute Dispatch and Pricing</w:t>
        </w:r>
      </w:hyperlink>
    </w:p>
    <w:p w:rsidR="00BE73BF" w:rsidRPr="00AB7D8B" w:rsidP="007B6629">
      <w:pPr>
        <w:pStyle w:val="SecondaryHeading-Numbered"/>
        <w:numPr>
          <w:ilvl w:val="1"/>
          <w:numId w:val="14"/>
        </w:numPr>
        <w:spacing w:before="120"/>
        <w:ind w:left="720"/>
        <w:rPr>
          <w:u w:val="single"/>
        </w:rPr>
      </w:pPr>
      <w:r>
        <w:t>Vijay Shah and Rebecca Stadelmeyer will review proposed revisions to Manual 11: Energy &amp; Ancillary Services Market Operations, Manual 18: PJM Capacity Market, and Manual 28: Operating Agreement Accounting to address the implementation of Fast Start Pricing. The committee will be asked to endorse the revisions at its next meeting.</w:t>
      </w:r>
    </w:p>
    <w:p w:rsidR="00E01E4B" w:rsidRPr="00B34F65" w:rsidP="007B6629">
      <w:pPr>
        <w:pStyle w:val="SecondaryHeading-Numbered"/>
        <w:numPr>
          <w:ilvl w:val="1"/>
          <w:numId w:val="14"/>
        </w:numPr>
        <w:spacing w:before="120"/>
        <w:ind w:left="720"/>
        <w:rPr>
          <w:u w:val="single"/>
        </w:rPr>
      </w:pPr>
      <w:r>
        <w:t>Jason Quevada</w:t>
      </w:r>
      <w:r w:rsidR="007B6629">
        <w:t xml:space="preserve"> will review proposed revisions to Manual 20:  PJM Resource Adequacy Analysis resulting from its periodic cover-to-cover review. The committee will be asked to endorse the revisions at its next meeting.</w:t>
      </w:r>
    </w:p>
    <w:p w:rsidR="00B34F65" w:rsidP="00C15C3E">
      <w:pPr>
        <w:pStyle w:val="SecondaryHeading-Numbered"/>
        <w:numPr>
          <w:ilvl w:val="1"/>
          <w:numId w:val="14"/>
        </w:numPr>
        <w:spacing w:before="120" w:after="240"/>
        <w:ind w:left="720"/>
        <w:rPr>
          <w:u w:val="single"/>
        </w:rPr>
      </w:pPr>
      <w:r>
        <w:t>Rebecca Stadelmeyer will review proposed revisions to Manual 28: Operating Agreement Accounting resulting from its periodic cover-to-cover review. The committee will be asked to endorse the revisions at its next meeting.</w:t>
      </w:r>
    </w:p>
    <w:p w:rsidR="001221FE" w:rsidRPr="0043183F" w:rsidP="001221FE">
      <w:pPr>
        <w:pStyle w:val="PrimaryHeading"/>
      </w:pPr>
      <w:r>
        <w:t>Future Agenda Items (</w:t>
      </w:r>
      <w:r w:rsidR="00EF6EE8">
        <w:t>10:55</w:t>
      </w:r>
      <w:r>
        <w:t xml:space="preserve">) </w:t>
      </w:r>
    </w:p>
    <w:p w:rsidR="00CE3EAD"/>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180"/>
        <w:gridCol w:w="3150"/>
        <w:gridCol w:w="1890"/>
        <w:gridCol w:w="1635"/>
      </w:tblGrid>
      <w:tr w:rsidTr="0038430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pPr>
              <w:pStyle w:val="DisclaimerHeading"/>
              <w:spacing w:before="40" w:after="40"/>
              <w:jc w:val="center"/>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rsidTr="0038430E">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D569D" w:rsidRPr="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August 25, 2021</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9:00 a.m.</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43183F">
            <w:pPr>
              <w:pStyle w:val="AttendeesList"/>
              <w:spacing w:before="40" w:after="40" w:line="220" w:lineRule="exact"/>
              <w:rPr>
                <w:b/>
                <w:szCs w:val="18"/>
              </w:rPr>
            </w:pPr>
            <w:r w:rsidRPr="0043183F">
              <w:rPr>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August 13, 2021</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August 18, 2021</w:t>
            </w: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D569D" w:rsidRPr="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September 29, 2021</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9:00 a.m.</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43183F">
            <w:pPr>
              <w:pStyle w:val="AttendeesList"/>
              <w:spacing w:before="40" w:after="40" w:line="220" w:lineRule="exact"/>
              <w:rPr>
                <w:b/>
                <w:szCs w:val="18"/>
              </w:rPr>
            </w:pPr>
            <w:r w:rsidRPr="0043183F">
              <w:rPr>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September 17, 2021</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September 22, 2021</w:t>
            </w: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D569D" w:rsidRPr="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 xml:space="preserve">October 20, 2021 </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9:00 a.m</w:t>
            </w:r>
            <w:r w:rsidR="00B322B8">
              <w:rPr>
                <w:b w:val="0"/>
                <w:color w:val="auto"/>
                <w:sz w:val="18"/>
                <w:szCs w:val="18"/>
              </w:rPr>
              <w:t>.</w:t>
            </w:r>
            <w:r w:rsidRPr="0043183F">
              <w:rPr>
                <w:b w:val="0"/>
                <w:color w:val="auto"/>
                <w:sz w:val="18"/>
                <w:szCs w:val="18"/>
              </w:rPr>
              <w:t xml:space="preserve"> </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 xml:space="preserve">October 8, 2021 </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October 13, 2021</w:t>
            </w:r>
          </w:p>
        </w:tc>
      </w:tr>
      <w:tr w:rsidTr="0038430E">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43183F" w:rsidRPr="0043183F" w:rsidP="009D7613">
            <w:pPr>
              <w:pStyle w:val="DisclaimerHeading"/>
              <w:spacing w:before="40" w:after="40" w:line="220" w:lineRule="exact"/>
              <w:jc w:val="left"/>
              <w:rPr>
                <w:b w:val="0"/>
                <w:i w:val="0"/>
                <w:color w:val="auto"/>
                <w:sz w:val="18"/>
                <w:szCs w:val="18"/>
              </w:rPr>
            </w:pPr>
            <w:r>
              <w:rPr>
                <w:b w:val="0"/>
                <w:i w:val="0"/>
                <w:color w:val="auto"/>
                <w:sz w:val="18"/>
                <w:szCs w:val="18"/>
              </w:rPr>
              <w:t xml:space="preserve">November 17, 2021 </w:t>
            </w:r>
          </w:p>
        </w:tc>
        <w:tc>
          <w:tcPr>
            <w:tcW w:w="900" w:type="dxa"/>
            <w:gridSpan w:val="2"/>
            <w:tcBorders>
              <w:top w:val="single" w:sz="4" w:space="0" w:color="auto"/>
              <w:left w:val="single" w:sz="4"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bottom w:val="single" w:sz="4" w:space="0" w:color="auto"/>
              <w:right w:val="single" w:sz="8" w:space="0" w:color="auto"/>
            </w:tcBorders>
          </w:tcPr>
          <w:p w:rsidR="006D569D" w:rsidRPr="0043183F" w:rsidP="009D7613">
            <w:pPr>
              <w:pStyle w:val="DisclaimerHeading"/>
              <w:spacing w:before="40" w:after="40" w:line="220" w:lineRule="exact"/>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 xml:space="preserve">November 5, 2021 </w:t>
            </w:r>
          </w:p>
        </w:tc>
        <w:tc>
          <w:tcPr>
            <w:tcW w:w="1635" w:type="dxa"/>
            <w:tcBorders>
              <w:top w:val="single" w:sz="4" w:space="0" w:color="auto"/>
              <w:left w:val="single" w:sz="4" w:space="0" w:color="auto"/>
              <w:bottom w:val="single" w:sz="4" w:space="0" w:color="auto"/>
              <w:right w:val="single" w:sz="4" w:space="0" w:color="auto"/>
            </w:tcBorders>
          </w:tcPr>
          <w:p w:rsidR="006D569D" w:rsidRPr="0043183F" w:rsidP="0038430E">
            <w:pPr>
              <w:pStyle w:val="DisclaimerHeading"/>
              <w:spacing w:before="40" w:after="40" w:line="220" w:lineRule="exact"/>
              <w:jc w:val="center"/>
              <w:rPr>
                <w:b w:val="0"/>
                <w:color w:val="auto"/>
                <w:sz w:val="18"/>
                <w:szCs w:val="18"/>
              </w:rPr>
            </w:pPr>
            <w:r>
              <w:rPr>
                <w:b w:val="0"/>
                <w:color w:val="auto"/>
                <w:sz w:val="18"/>
                <w:szCs w:val="18"/>
              </w:rPr>
              <w:t xml:space="preserve">November 10, 2021 </w:t>
            </w:r>
          </w:p>
        </w:tc>
      </w:tr>
      <w:tr w:rsidTr="0038430E">
        <w:tblPrEx>
          <w:tblW w:w="0" w:type="auto"/>
          <w:tblLook w:val="04A0"/>
        </w:tblPrEx>
        <w:trPr>
          <w:trHeight w:val="331"/>
        </w:trPr>
        <w:tc>
          <w:tcPr>
            <w:tcW w:w="1710" w:type="dxa"/>
            <w:tcBorders>
              <w:top w:val="single" w:sz="4" w:space="0" w:color="auto"/>
              <w:right w:val="single" w:sz="4" w:space="0" w:color="auto"/>
            </w:tcBorders>
            <w:shd w:val="clear" w:color="auto" w:fill="E1F6FF"/>
          </w:tcPr>
          <w:p w:rsidR="0043183F" w:rsidP="0043183F">
            <w:pPr>
              <w:pStyle w:val="DisclaimerHeading"/>
              <w:spacing w:before="40" w:after="40" w:line="220" w:lineRule="exact"/>
              <w:jc w:val="left"/>
              <w:rPr>
                <w:b w:val="0"/>
                <w:i w:val="0"/>
                <w:color w:val="auto"/>
                <w:sz w:val="18"/>
                <w:szCs w:val="18"/>
              </w:rPr>
            </w:pPr>
            <w:r>
              <w:rPr>
                <w:b w:val="0"/>
                <w:i w:val="0"/>
                <w:color w:val="auto"/>
                <w:sz w:val="18"/>
                <w:szCs w:val="18"/>
              </w:rPr>
              <w:t>December 15, 2021</w:t>
            </w:r>
          </w:p>
        </w:tc>
        <w:tc>
          <w:tcPr>
            <w:tcW w:w="900" w:type="dxa"/>
            <w:gridSpan w:val="2"/>
            <w:tcBorders>
              <w:top w:val="single" w:sz="4" w:space="0" w:color="auto"/>
              <w:left w:val="single" w:sz="4" w:space="0" w:color="auto"/>
              <w:right w:val="single" w:sz="8" w:space="0" w:color="auto"/>
            </w:tcBorders>
          </w:tcPr>
          <w:p w:rsidR="0043183F" w:rsidRPr="0043183F" w:rsidP="009D7613">
            <w:pPr>
              <w:pStyle w:val="DisclaimerHeading"/>
              <w:spacing w:before="40" w:after="40" w:line="220" w:lineRule="exact"/>
              <w:rPr>
                <w:b w:val="0"/>
                <w:i/>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right w:val="single" w:sz="8" w:space="0" w:color="auto"/>
            </w:tcBorders>
          </w:tcPr>
          <w:p w:rsidR="0043183F" w:rsidRPr="0043183F" w:rsidP="009D7613">
            <w:pPr>
              <w:pStyle w:val="DisclaimerHeading"/>
              <w:spacing w:before="40" w:after="40" w:line="220" w:lineRule="exact"/>
              <w:rPr>
                <w:b w:val="0"/>
                <w:i/>
                <w:color w:val="auto"/>
                <w:sz w:val="18"/>
                <w:szCs w:val="18"/>
              </w:rPr>
            </w:pPr>
            <w:r w:rsidRPr="0043183F">
              <w:rPr>
                <w:b w:val="0"/>
                <w:color w:val="auto"/>
                <w:sz w:val="18"/>
                <w:szCs w:val="18"/>
              </w:rPr>
              <w:t>WebEx</w:t>
            </w:r>
          </w:p>
        </w:tc>
        <w:tc>
          <w:tcPr>
            <w:tcW w:w="1890" w:type="dxa"/>
            <w:tcBorders>
              <w:top w:val="single" w:sz="4" w:space="0" w:color="auto"/>
              <w:left w:val="single" w:sz="4" w:space="0" w:color="auto"/>
              <w:right w:val="single" w:sz="4" w:space="0" w:color="auto"/>
            </w:tcBorders>
          </w:tcPr>
          <w:p w:rsidR="0043183F" w:rsidRPr="0038430E" w:rsidP="0038430E">
            <w:pPr>
              <w:pStyle w:val="DisclaimerHeading"/>
              <w:spacing w:before="40" w:after="40" w:line="220" w:lineRule="exact"/>
              <w:jc w:val="center"/>
              <w:rPr>
                <w:b w:val="0"/>
                <w:color w:val="auto"/>
                <w:sz w:val="18"/>
                <w:szCs w:val="18"/>
              </w:rPr>
            </w:pPr>
            <w:r>
              <w:rPr>
                <w:b w:val="0"/>
                <w:color w:val="auto"/>
                <w:sz w:val="18"/>
                <w:szCs w:val="18"/>
              </w:rPr>
              <w:t xml:space="preserve">December 3, 2021 </w:t>
            </w:r>
          </w:p>
        </w:tc>
        <w:tc>
          <w:tcPr>
            <w:tcW w:w="1635" w:type="dxa"/>
            <w:tcBorders>
              <w:top w:val="single" w:sz="4" w:space="0" w:color="auto"/>
              <w:left w:val="single" w:sz="4" w:space="0" w:color="auto"/>
              <w:right w:val="single" w:sz="4" w:space="0" w:color="auto"/>
            </w:tcBorders>
          </w:tcPr>
          <w:p w:rsidR="0043183F" w:rsidRPr="0038430E" w:rsidP="0038430E">
            <w:pPr>
              <w:pStyle w:val="DisclaimerHeading"/>
              <w:spacing w:before="40" w:after="40" w:line="220" w:lineRule="exact"/>
              <w:jc w:val="center"/>
              <w:rPr>
                <w:b w:val="0"/>
                <w:color w:val="auto"/>
                <w:sz w:val="18"/>
                <w:szCs w:val="18"/>
              </w:rPr>
            </w:pPr>
            <w:r>
              <w:rPr>
                <w:b w:val="0"/>
                <w:color w:val="auto"/>
                <w:sz w:val="18"/>
                <w:szCs w:val="18"/>
              </w:rPr>
              <w:t>December 8, 2021</w:t>
            </w:r>
          </w:p>
        </w:tc>
      </w:tr>
    </w:tbl>
    <w:p w:rsidR="003122CA" w:rsidP="00337321">
      <w:pPr>
        <w:pStyle w:val="Author"/>
      </w:pPr>
    </w:p>
    <w:p w:rsidR="00B62597" w:rsidP="00337321">
      <w:pPr>
        <w:pStyle w:val="Author"/>
      </w:pPr>
      <w:r>
        <w:t xml:space="preserve">Author: </w:t>
      </w:r>
      <w:r w:rsidR="0043183F">
        <w:t>M. Greening</w:t>
      </w:r>
    </w:p>
    <w:p w:rsidR="00A317A9" w:rsidRPr="00B62597"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00527" name=""/>
                    <pic:cNvPicPr/>
                  </pic:nvPicPr>
                  <pic:blipFill>
                    <a:blip xmlns:r="http://schemas.openxmlformats.org/officeDocument/2006/relationships" r:embed="rId8"/>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3192" name=""/>
                    <pic:cNvPicPr/>
                  </pic:nvPicPr>
                  <pic:blipFill>
                    <a:blip xmlns:r="http://schemas.openxmlformats.org/officeDocument/2006/relationships" r:embed="rId11"/>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45EA06C3-7106-4542-8D90-1FF5FC99A9B7}"/>
    <w:embedBold r:id="rId2" w:fontKey="{D1604C76-668A-4C90-B84E-703DA03FDB85}"/>
    <w:embedItalic r:id="rId3" w:fontKey="{A32FE6B3-0B3D-47C8-9C14-A5D8E76BA113}"/>
    <w:embedBoldItalic r:id="rId4" w:fontKey="{B95672C9-EC39-4A12-ACA2-78F1376A3771}"/>
  </w:font>
  <w:font w:name="Calibri">
    <w:panose1 w:val="020F0502020204030204"/>
    <w:charset w:val="00"/>
    <w:family w:val="swiss"/>
    <w:pitch w:val="variable"/>
    <w:sig w:usb0="E4002EFF" w:usb1="C000247B" w:usb2="00000009" w:usb3="00000000" w:csb0="000001FF" w:csb1="00000000"/>
    <w:embedRegular r:id="rId5" w:fontKey="{95F6E494-F414-414C-A7AE-900596195F6F}"/>
    <w:embedBold r:id="rId6" w:fontKey="{121172C1-CF71-4076-92A1-5BDB89B01E09}"/>
    <w:embedItalic r:id="rId7" w:fontKey="{33D652C1-11EB-487A-BE1A-1DC4D8E7D302}"/>
  </w:font>
  <w:font w:name="Tahoma">
    <w:panose1 w:val="020B0604030504040204"/>
    <w:charset w:val="00"/>
    <w:family w:val="swiss"/>
    <w:pitch w:val="variable"/>
    <w:sig w:usb0="E1002EFF" w:usb1="C000605B" w:usb2="00000029" w:usb3="00000000" w:csb0="000101FF" w:csb1="00000000"/>
    <w:embedRegular r:id="rId8" w:fontKey="{C0897756-BE12-4B77-B12B-A9E4E77AAF25}"/>
  </w:font>
  <w:font w:name="Trade Gothic LT Std Bold">
    <w:panose1 w:val="020B0804050502020204"/>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3D55B79-F3B0-4E26-8629-8DA23D123D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772AE">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57150"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60D">
      <w:t>July 21</w:t>
    </w:r>
    <w:r w:rsidR="008E1149">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4CF232F8"/>
    <w:lvl w:ilvl="0">
      <w:start w:val="1"/>
      <w:numFmt w:val="upperLetter"/>
      <w:lvlText w:val="%1."/>
      <w:lvlJc w:val="left"/>
      <w:pPr>
        <w:ind w:left="720" w:hanging="360"/>
      </w:pPr>
      <w:rPr>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F6A5850"/>
    <w:multiLevelType w:val="hybridMultilevel"/>
    <w:tmpl w:val="5970A4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337E2421"/>
    <w:multiLevelType w:val="hybridMultilevel"/>
    <w:tmpl w:val="F7EEF316"/>
    <w:lvl w:ilvl="0">
      <w:start w:val="1"/>
      <w:numFmt w:val="decimal"/>
      <w:lvlText w:val="%1."/>
      <w:lvlJc w:val="left"/>
      <w:pPr>
        <w:ind w:left="360" w:hanging="360"/>
      </w:pPr>
      <w:rPr>
        <w:b w:val="0"/>
      </w:rPr>
    </w:lvl>
    <w:lvl w:ilvl="1">
      <w:start w:val="1"/>
      <w:numFmt w:val="upperLetter"/>
      <w:lvlText w:val="%2."/>
      <w:lvlJc w:val="left"/>
      <w:pPr>
        <w:ind w:left="1080" w:hanging="360"/>
      </w:pPr>
      <w:rPr>
        <w:b w:val="0"/>
        <w:i w:val="0"/>
        <w:strike w:val="0"/>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upp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CBE67EB"/>
    <w:multiLevelType w:val="hybridMultilevel"/>
    <w:tmpl w:val="FF3E87C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50395BF3"/>
    <w:multiLevelType w:val="hybridMultilevel"/>
    <w:tmpl w:val="0772EBBA"/>
    <w:lvl w:ilvl="0">
      <w:start w:val="1"/>
      <w:numFmt w:val="decimal"/>
      <w:lvlText w:val="%1."/>
      <w:lvlJc w:val="left"/>
      <w:pPr>
        <w:ind w:left="360" w:hanging="360"/>
      </w:pPr>
      <w:rPr>
        <w:rFonts w:ascii="Arial Narrow" w:hAnsi="Arial Narrow" w:hint="default"/>
        <w:b w:val="0"/>
        <w:color w:val="auto"/>
        <w:sz w:val="24"/>
        <w:szCs w:val="24"/>
      </w:rPr>
    </w:lvl>
    <w:lvl w:ilvl="1">
      <w:start w:val="1"/>
      <w:numFmt w:val="lowerLetter"/>
      <w:lvlText w:val="%2."/>
      <w:lvlJc w:val="left"/>
      <w:pPr>
        <w:ind w:left="1080" w:hanging="360"/>
      </w:p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5BD25598"/>
    <w:multiLevelType w:val="hybridMultilevel"/>
    <w:tmpl w:val="EDE899D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B057D8F"/>
    <w:multiLevelType w:val="hybridMultilevel"/>
    <w:tmpl w:val="60E230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6B8C322A"/>
    <w:multiLevelType w:val="hybridMultilevel"/>
    <w:tmpl w:val="3C68B35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379297F"/>
    <w:multiLevelType w:val="hybridMultilevel"/>
    <w:tmpl w:val="605C4422"/>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5"/>
  </w:num>
  <w:num w:numId="9">
    <w:abstractNumId w:val="4"/>
  </w:num>
  <w:num w:numId="10">
    <w:abstractNumId w:val="1"/>
  </w:num>
  <w:num w:numId="11">
    <w:abstractNumId w:val="5"/>
  </w:num>
  <w:num w:numId="12">
    <w:abstractNumId w:val="3"/>
  </w:num>
  <w:num w:numId="13">
    <w:abstractNumId w:val="10"/>
  </w:num>
  <w:num w:numId="14">
    <w:abstractNumId w:val="6"/>
  </w:num>
  <w:num w:numId="15">
    <w:abstractNumId w:val="5"/>
  </w:num>
  <w:num w:numId="16">
    <w:abstractNumId w:val="5"/>
  </w:num>
  <w:num w:numId="17">
    <w:abstractNumId w:val="5"/>
  </w:num>
  <w:num w:numId="18">
    <w:abstractNumId w:val="5"/>
  </w:num>
  <w:num w:numId="19">
    <w:abstractNumId w:val="9"/>
  </w:num>
  <w:num w:numId="20">
    <w:abstractNumId w:val="5"/>
  </w:num>
  <w:num w:numId="21">
    <w:abstractNumId w:val="8"/>
  </w:num>
  <w:num w:numId="22">
    <w:abstractNumId w:val="5"/>
  </w:num>
  <w:num w:numId="23">
    <w:abstractNumId w:val="5"/>
  </w:num>
  <w:num w:numId="24">
    <w:abstractNumId w:val="5"/>
  </w:num>
  <w:num w:numId="25">
    <w:abstractNumId w:val="16"/>
  </w:num>
  <w:num w:numId="26">
    <w:abstractNumId w:val="0"/>
  </w:num>
  <w:num w:numId="27">
    <w:abstractNumId w:val="5"/>
  </w:num>
  <w:num w:numId="28">
    <w:abstractNumId w:val="5"/>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
  </w:num>
  <w:num w:numId="33">
    <w:abstractNumId w:val="5"/>
  </w:num>
  <w:num w:numId="34">
    <w:abstractNumId w:val="14"/>
  </w:num>
  <w:num w:numId="35">
    <w:abstractNumId w:val="5"/>
  </w:num>
  <w:num w:numId="36">
    <w:abstractNumId w:val="5"/>
  </w:num>
  <w:num w:numId="37">
    <w:abstractNumId w:val="5"/>
  </w:num>
  <w:num w:numId="38">
    <w:abstractNumId w:val="13"/>
  </w:num>
  <w:num w:numId="39">
    <w:abstractNumId w:val="5"/>
  </w:num>
  <w:num w:numId="4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5"/>
  </w:num>
  <w:num w:numId="43">
    <w:abstractNumId w:val="5"/>
  </w:num>
  <w:num w:numId="44">
    <w:abstractNumId w:val="5"/>
  </w:num>
  <w:num w:numId="45">
    <w:abstractNumId w:val="5"/>
  </w:num>
  <w:num w:numId="46">
    <w:abstractNumId w:val="5"/>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15E99"/>
    <w:rsid w:val="0004385E"/>
    <w:rsid w:val="00071484"/>
    <w:rsid w:val="000B61DB"/>
    <w:rsid w:val="000B679B"/>
    <w:rsid w:val="000D654E"/>
    <w:rsid w:val="001221FE"/>
    <w:rsid w:val="001A0DED"/>
    <w:rsid w:val="001A6C8B"/>
    <w:rsid w:val="001B2242"/>
    <w:rsid w:val="001D3B68"/>
    <w:rsid w:val="00265FEB"/>
    <w:rsid w:val="00291B49"/>
    <w:rsid w:val="002A0070"/>
    <w:rsid w:val="002B2F98"/>
    <w:rsid w:val="002C1B2F"/>
    <w:rsid w:val="002F1A45"/>
    <w:rsid w:val="002F5460"/>
    <w:rsid w:val="00305238"/>
    <w:rsid w:val="00306394"/>
    <w:rsid w:val="00306E11"/>
    <w:rsid w:val="003111B0"/>
    <w:rsid w:val="003122CA"/>
    <w:rsid w:val="0033512A"/>
    <w:rsid w:val="00337321"/>
    <w:rsid w:val="00351124"/>
    <w:rsid w:val="0038430E"/>
    <w:rsid w:val="00385BCB"/>
    <w:rsid w:val="003A7F54"/>
    <w:rsid w:val="003B0E40"/>
    <w:rsid w:val="003B55E1"/>
    <w:rsid w:val="003C17E2"/>
    <w:rsid w:val="003C3320"/>
    <w:rsid w:val="003D5D3D"/>
    <w:rsid w:val="003D7E5C"/>
    <w:rsid w:val="003E0E49"/>
    <w:rsid w:val="003E1B68"/>
    <w:rsid w:val="003E31B9"/>
    <w:rsid w:val="003E3F4D"/>
    <w:rsid w:val="003E7A73"/>
    <w:rsid w:val="0041425E"/>
    <w:rsid w:val="00417F17"/>
    <w:rsid w:val="0043183F"/>
    <w:rsid w:val="00444717"/>
    <w:rsid w:val="00452AE5"/>
    <w:rsid w:val="004820DE"/>
    <w:rsid w:val="00491490"/>
    <w:rsid w:val="004969FA"/>
    <w:rsid w:val="004C1252"/>
    <w:rsid w:val="004D2992"/>
    <w:rsid w:val="004D7CAA"/>
    <w:rsid w:val="005108EB"/>
    <w:rsid w:val="00564DEE"/>
    <w:rsid w:val="0057441E"/>
    <w:rsid w:val="005772AE"/>
    <w:rsid w:val="005D64AA"/>
    <w:rsid w:val="005D6D05"/>
    <w:rsid w:val="00602967"/>
    <w:rsid w:val="00606C3C"/>
    <w:rsid w:val="00614DF4"/>
    <w:rsid w:val="00621963"/>
    <w:rsid w:val="006307FB"/>
    <w:rsid w:val="00632525"/>
    <w:rsid w:val="00632FFD"/>
    <w:rsid w:val="006342C5"/>
    <w:rsid w:val="006450B8"/>
    <w:rsid w:val="006753C3"/>
    <w:rsid w:val="006A49D2"/>
    <w:rsid w:val="006B376E"/>
    <w:rsid w:val="006C1DA6"/>
    <w:rsid w:val="006C472C"/>
    <w:rsid w:val="006D569D"/>
    <w:rsid w:val="006E57BF"/>
    <w:rsid w:val="00712CAA"/>
    <w:rsid w:val="00713451"/>
    <w:rsid w:val="00716A8B"/>
    <w:rsid w:val="007436B1"/>
    <w:rsid w:val="00744593"/>
    <w:rsid w:val="00751A32"/>
    <w:rsid w:val="00754C6D"/>
    <w:rsid w:val="00755096"/>
    <w:rsid w:val="007A34A3"/>
    <w:rsid w:val="007B3881"/>
    <w:rsid w:val="007B6629"/>
    <w:rsid w:val="00814FE8"/>
    <w:rsid w:val="00837B12"/>
    <w:rsid w:val="00856DF8"/>
    <w:rsid w:val="00860E4C"/>
    <w:rsid w:val="00882652"/>
    <w:rsid w:val="0088561C"/>
    <w:rsid w:val="00895F08"/>
    <w:rsid w:val="008E1149"/>
    <w:rsid w:val="008E1951"/>
    <w:rsid w:val="008E52E1"/>
    <w:rsid w:val="008F25E9"/>
    <w:rsid w:val="00917386"/>
    <w:rsid w:val="00932B6C"/>
    <w:rsid w:val="009346EB"/>
    <w:rsid w:val="00937405"/>
    <w:rsid w:val="00946923"/>
    <w:rsid w:val="009826F0"/>
    <w:rsid w:val="009A5430"/>
    <w:rsid w:val="009C4B7D"/>
    <w:rsid w:val="009D7613"/>
    <w:rsid w:val="009E2C15"/>
    <w:rsid w:val="009F1A60"/>
    <w:rsid w:val="009F52D5"/>
    <w:rsid w:val="00A05391"/>
    <w:rsid w:val="00A05D00"/>
    <w:rsid w:val="00A06E07"/>
    <w:rsid w:val="00A248C0"/>
    <w:rsid w:val="00A317A9"/>
    <w:rsid w:val="00A3460D"/>
    <w:rsid w:val="00A67272"/>
    <w:rsid w:val="00A8751B"/>
    <w:rsid w:val="00A93B09"/>
    <w:rsid w:val="00AA6CFA"/>
    <w:rsid w:val="00AB7D8B"/>
    <w:rsid w:val="00B0726B"/>
    <w:rsid w:val="00B16508"/>
    <w:rsid w:val="00B16D95"/>
    <w:rsid w:val="00B20316"/>
    <w:rsid w:val="00B322B8"/>
    <w:rsid w:val="00B34E3C"/>
    <w:rsid w:val="00B34F65"/>
    <w:rsid w:val="00B36B61"/>
    <w:rsid w:val="00B56319"/>
    <w:rsid w:val="00B62597"/>
    <w:rsid w:val="00B877FF"/>
    <w:rsid w:val="00BA6146"/>
    <w:rsid w:val="00BB531B"/>
    <w:rsid w:val="00BB6921"/>
    <w:rsid w:val="00BC1BD6"/>
    <w:rsid w:val="00BC29C9"/>
    <w:rsid w:val="00BE73BF"/>
    <w:rsid w:val="00BF331B"/>
    <w:rsid w:val="00BF6F0E"/>
    <w:rsid w:val="00C10A93"/>
    <w:rsid w:val="00C15C3E"/>
    <w:rsid w:val="00C20CCB"/>
    <w:rsid w:val="00C374C8"/>
    <w:rsid w:val="00C439EC"/>
    <w:rsid w:val="00C51AB6"/>
    <w:rsid w:val="00C72168"/>
    <w:rsid w:val="00C74AA7"/>
    <w:rsid w:val="00C8675C"/>
    <w:rsid w:val="00C86E08"/>
    <w:rsid w:val="00CA49B9"/>
    <w:rsid w:val="00CB51E7"/>
    <w:rsid w:val="00CC1B47"/>
    <w:rsid w:val="00CD227C"/>
    <w:rsid w:val="00CD403B"/>
    <w:rsid w:val="00CE3EAD"/>
    <w:rsid w:val="00CE5310"/>
    <w:rsid w:val="00D12691"/>
    <w:rsid w:val="00D136EA"/>
    <w:rsid w:val="00D251ED"/>
    <w:rsid w:val="00D32E6F"/>
    <w:rsid w:val="00D51AE9"/>
    <w:rsid w:val="00D63186"/>
    <w:rsid w:val="00D6776C"/>
    <w:rsid w:val="00D71807"/>
    <w:rsid w:val="00D81B40"/>
    <w:rsid w:val="00D9010F"/>
    <w:rsid w:val="00D91C4E"/>
    <w:rsid w:val="00D95949"/>
    <w:rsid w:val="00DA23DE"/>
    <w:rsid w:val="00DB21B9"/>
    <w:rsid w:val="00DB29E9"/>
    <w:rsid w:val="00DC5D5E"/>
    <w:rsid w:val="00DE2D6A"/>
    <w:rsid w:val="00DE34CF"/>
    <w:rsid w:val="00E01E4B"/>
    <w:rsid w:val="00E1605D"/>
    <w:rsid w:val="00E31ED6"/>
    <w:rsid w:val="00E528E1"/>
    <w:rsid w:val="00E579F6"/>
    <w:rsid w:val="00E96E8D"/>
    <w:rsid w:val="00EA1452"/>
    <w:rsid w:val="00EB5AE7"/>
    <w:rsid w:val="00EB68B0"/>
    <w:rsid w:val="00EC1CCF"/>
    <w:rsid w:val="00EE329C"/>
    <w:rsid w:val="00EE6A53"/>
    <w:rsid w:val="00EF6EE8"/>
    <w:rsid w:val="00F11F9F"/>
    <w:rsid w:val="00F15DE2"/>
    <w:rsid w:val="00F17AB2"/>
    <w:rsid w:val="00F4190F"/>
    <w:rsid w:val="00F43608"/>
    <w:rsid w:val="00FA170E"/>
    <w:rsid w:val="00FC2B9A"/>
    <w:rsid w:val="00FC2CA5"/>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semiHidden/>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semiHidden/>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image" Target="media/image2.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bd34769e-55f1-461e-a186-aa7d7908fa87" TargetMode="External" /><Relationship Id="rId6" Type="http://schemas.openxmlformats.org/officeDocument/2006/relationships/hyperlink" Target="https://www.pjm.com/committees-and-groups/issue-tracking/issue-tracking-details.aspx?Issue=fdd40adf-8d4c-4ecf-bea2-c34793ccf226" TargetMode="External" /><Relationship Id="rId7" Type="http://schemas.openxmlformats.org/officeDocument/2006/relationships/hyperlink" Target="https://www.pjm.com/committees-and-groups/issue-tracking/issue-tracking-details.aspx?Issue=6decc213-ec91-4ccf-b75c-3be72fe0d347" TargetMode="External" /><Relationship Id="rId8" Type="http://schemas.openxmlformats.org/officeDocument/2006/relationships/image" Target="media/image1.png" /><Relationship Id="rId9" Type="http://schemas.openxmlformats.org/officeDocument/2006/relationships/hyperlink" Target="https://www.pjm.com/committees-and-groups/committees/form-facilitator-feedback.aspx"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4C515-F092-4B10-B517-97E982FC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0</TotalTime>
  <Pages>3</Pages>
  <Words>1115</Words>
  <Characters>6361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2021-07-21T23:06:59Z</dcterms:created>
  <dcterms:modified xsi:type="dcterms:W3CDTF">2021-07-21T23:06:59Z</dcterms:modified>
</cp:coreProperties>
</file>